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02AA9" w14:textId="77777777" w:rsidR="008F6B68" w:rsidRDefault="00000000">
      <w:pPr>
        <w:pStyle w:val="affff2"/>
        <w:framePr w:wrap="around"/>
      </w:pPr>
      <w:r>
        <w:rPr>
          <w:rFonts w:ascii="Times New Roman"/>
        </w:rPr>
        <w:t>ICS</w:t>
      </w:r>
      <w:bookmarkStart w:id="0" w:name="ICS"/>
      <w:r>
        <w:rPr>
          <w:rFonts w:ascii="Times New Roman" w:hint="eastAsia"/>
        </w:rPr>
        <w:t xml:space="preserve"> </w:t>
      </w:r>
      <w:r>
        <w:rPr>
          <w:rFonts w:ascii="Times New Roman"/>
        </w:rPr>
        <w:t xml:space="preserve">27.120.20 </w:t>
      </w:r>
      <w:r>
        <w:rPr>
          <w:rFonts w:ascii="Times New Roman"/>
        </w:rPr>
        <w:fldChar w:fldCharType="begin"/>
      </w:r>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0"/>
    </w:p>
    <w:p w14:paraId="1AE1771B" w14:textId="77777777" w:rsidR="008F6B68" w:rsidRDefault="00000000">
      <w:pPr>
        <w:pStyle w:val="affff2"/>
        <w:framePr w:wrap="around"/>
      </w:pPr>
      <w:bookmarkStart w:id="1" w:name="WXFLH"/>
      <w:r>
        <w:rPr>
          <w:rFonts w:ascii="Times New Roman"/>
        </w:rPr>
        <w:t>CCS</w:t>
      </w:r>
      <w:bookmarkEnd w:id="1"/>
      <w:r>
        <w:rPr>
          <w:rFonts w:ascii="Times New Roman" w:hint="eastAsia"/>
        </w:rPr>
        <w:t xml:space="preserve"> F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8F6B68" w14:paraId="44999D81" w14:textId="77777777">
        <w:tc>
          <w:tcPr>
            <w:tcW w:w="9854" w:type="dxa"/>
            <w:tcBorders>
              <w:top w:val="nil"/>
              <w:left w:val="nil"/>
              <w:bottom w:val="nil"/>
              <w:right w:val="nil"/>
            </w:tcBorders>
          </w:tcPr>
          <w:p w14:paraId="56A2F4E3" w14:textId="77777777" w:rsidR="008F6B68" w:rsidRDefault="00000000">
            <w:pPr>
              <w:pStyle w:val="affff2"/>
              <w:framePr w:wrap="around"/>
            </w:pPr>
            <w:r>
              <w:rPr>
                <w:noProof/>
              </w:rPr>
              <mc:AlternateContent>
                <mc:Choice Requires="wps">
                  <w:drawing>
                    <wp:anchor distT="0" distB="0" distL="114300" distR="114300" simplePos="0" relativeHeight="251664384" behindDoc="1" locked="0" layoutInCell="1" allowOverlap="1" wp14:anchorId="42DD3C5D" wp14:editId="3C6185E4">
                      <wp:simplePos x="0" y="0"/>
                      <wp:positionH relativeFrom="column">
                        <wp:posOffset>-66675</wp:posOffset>
                      </wp:positionH>
                      <wp:positionV relativeFrom="paragraph">
                        <wp:posOffset>0</wp:posOffset>
                      </wp:positionV>
                      <wp:extent cx="866775" cy="198120"/>
                      <wp:effectExtent l="4445" t="3810" r="0" b="0"/>
                      <wp:wrapNone/>
                      <wp:docPr id="15961366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3"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yK4v7NUAAAAHAQAADwAA&#10;AAAAAAABACAAAAAiAAAAZHJzL2Rvd25yZXYueG1sUEsBAhQAFAAAAAgAh07iQHeMHe4ZAgAAMQQA&#10;AA4AAAAAAAAAAQAgAAAAJAEAAGRycy9lMm9Eb2MueG1sUEsFBgAAAAAGAAYAWQEAAK8FAAAAAA==&#10;">
                      <v:fill on="t" focussize="0,0"/>
                      <v:stroke on="f"/>
                      <v:imagedata o:title=""/>
                      <o:lock v:ext="edit" aspectratio="f"/>
                    </v:rect>
                  </w:pict>
                </mc:Fallback>
              </mc:AlternateContent>
            </w:r>
            <w:r>
              <w:fldChar w:fldCharType="begin"/>
            </w:r>
            <w:bookmarkStart w:id="2" w:name="BAH"/>
            <w:r>
              <w:instrText xml:space="preserve"> FORMTEXT </w:instrText>
            </w:r>
            <w:r>
              <w:fldChar w:fldCharType="separate"/>
            </w:r>
            <w:r>
              <w:t>     </w:t>
            </w:r>
            <w:r>
              <w:fldChar w:fldCharType="end"/>
            </w:r>
            <w:bookmarkEnd w:id="2"/>
          </w:p>
        </w:tc>
      </w:tr>
    </w:tbl>
    <w:p w14:paraId="543C2D10" w14:textId="77777777" w:rsidR="008F6B68" w:rsidRDefault="00000000">
      <w:pPr>
        <w:pStyle w:val="affff3"/>
        <w:framePr w:wrap="around" w:y="2026"/>
        <w:rPr>
          <w:rFonts w:hint="eastAsia"/>
          <w:sz w:val="72"/>
          <w:szCs w:val="72"/>
        </w:rPr>
      </w:pPr>
      <w:r>
        <w:rPr>
          <w:rFonts w:hint="eastAsia"/>
          <w:sz w:val="72"/>
          <w:szCs w:val="72"/>
        </w:rPr>
        <w:t>团体标准</w:t>
      </w:r>
    </w:p>
    <w:p w14:paraId="2399986E" w14:textId="77777777" w:rsidR="008F6B68" w:rsidRDefault="00000000">
      <w:pPr>
        <w:pStyle w:val="20"/>
        <w:framePr w:wrap="around"/>
      </w:pPr>
      <w:r>
        <w:rPr>
          <w:rFonts w:ascii="Times New Roman" w:hint="eastAsia"/>
        </w:rPr>
        <w:t>T</w:t>
      </w:r>
      <w:r>
        <w:rPr>
          <w:rFonts w:ascii="Times New Roman"/>
        </w:rPr>
        <w:t>/</w:t>
      </w:r>
      <w:r>
        <w:rPr>
          <w:rFonts w:ascii="Times New Roman" w:hint="eastAsia"/>
        </w:rPr>
        <w:t>CNEA</w:t>
      </w:r>
      <w:bookmarkStart w:id="3" w:name="StdNo1"/>
      <w:r>
        <w:rPr>
          <w:rFonts w:ascii="Times New Roman" w:hint="eastAsia"/>
        </w:rPr>
        <w:t xml:space="preserve"> </w:t>
      </w:r>
      <w:r>
        <w:fldChar w:fldCharType="begin"/>
      </w:r>
      <w:r>
        <w:instrText xml:space="preserve"> FORMTEXT </w:instrText>
      </w:r>
      <w:r>
        <w:fldChar w:fldCharType="separate"/>
      </w:r>
      <w:r>
        <w:t>XXXX</w:t>
      </w:r>
      <w:r>
        <w:fldChar w:fldCharType="end"/>
      </w:r>
      <w:bookmarkEnd w:id="3"/>
      <w:r>
        <w:t>—</w:t>
      </w:r>
      <w:bookmarkStart w:id="4" w:name="StdNo2"/>
      <w:r>
        <w:fldChar w:fldCharType="begin"/>
      </w:r>
      <w:r>
        <w:instrText xml:space="preserve"> FORMTEXT </w:instrText>
      </w:r>
      <w:r>
        <w:fldChar w:fldCharType="separate"/>
      </w:r>
      <w:r>
        <w:t>XXXX</w:t>
      </w:r>
      <w:r>
        <w:fldChar w:fldCharType="end"/>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0"/>
      </w:tblGrid>
      <w:tr w:rsidR="008F6B68" w14:paraId="0BE67554" w14:textId="77777777">
        <w:tc>
          <w:tcPr>
            <w:tcW w:w="9356" w:type="dxa"/>
            <w:tcBorders>
              <w:top w:val="nil"/>
              <w:left w:val="nil"/>
              <w:bottom w:val="nil"/>
              <w:right w:val="nil"/>
            </w:tcBorders>
          </w:tcPr>
          <w:bookmarkStart w:id="5" w:name="DT"/>
          <w:p w14:paraId="567970BA" w14:textId="77777777" w:rsidR="008F6B68" w:rsidRDefault="00000000">
            <w:pPr>
              <w:pStyle w:val="affff4"/>
              <w:framePr w:wrap="around"/>
            </w:pPr>
            <w:r>
              <w:rPr>
                <w:noProof/>
              </w:rPr>
              <mc:AlternateContent>
                <mc:Choice Requires="wps">
                  <w:drawing>
                    <wp:anchor distT="0" distB="0" distL="114300" distR="114300" simplePos="0" relativeHeight="251661312" behindDoc="1" locked="0" layoutInCell="1" allowOverlap="1" wp14:anchorId="045A47F6" wp14:editId="16874A76">
                      <wp:simplePos x="0" y="0"/>
                      <wp:positionH relativeFrom="column">
                        <wp:posOffset>4734560</wp:posOffset>
                      </wp:positionH>
                      <wp:positionV relativeFrom="paragraph">
                        <wp:posOffset>34290</wp:posOffset>
                      </wp:positionV>
                      <wp:extent cx="1143000" cy="228600"/>
                      <wp:effectExtent l="0" t="0" r="3175" b="0"/>
                      <wp:wrapNone/>
                      <wp:docPr id="129570417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4"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YPLL1gAAAAgBAAAPAAAA&#10;AAAAAAEAIAAAACIAAABkcnMvZG93bnJldi54bWxQSwECFAAUAAAACACHTuJAOz3YmRcCAAAyBAAA&#10;DgAAAAAAAAABACAAAAAlAQAAZHJzL2Uyb0RvYy54bWxQSwUGAAAAAAYABgBZAQAArgUAAAAA&#10;">
                      <v:fill on="t" focussize="0,0"/>
                      <v:stroke on="f"/>
                      <v:imagedata o:title=""/>
                      <o:lock v:ext="edit" aspectratio="f"/>
                    </v:rect>
                  </w:pict>
                </mc:Fallback>
              </mc:AlternateContent>
            </w:r>
            <w:r>
              <w:fldChar w:fldCharType="begin"/>
            </w:r>
            <w:r>
              <w:instrText xml:space="preserve"> FORMTEXT </w:instrText>
            </w:r>
            <w:r>
              <w:fldChar w:fldCharType="separate"/>
            </w:r>
            <w:r>
              <w:t>     </w:t>
            </w:r>
            <w:r>
              <w:fldChar w:fldCharType="end"/>
            </w:r>
            <w:bookmarkEnd w:id="5"/>
          </w:p>
        </w:tc>
      </w:tr>
    </w:tbl>
    <w:p w14:paraId="232FBE41" w14:textId="77777777" w:rsidR="008F6B68" w:rsidRDefault="008F6B68">
      <w:pPr>
        <w:pStyle w:val="20"/>
        <w:framePr w:wrap="around"/>
      </w:pPr>
    </w:p>
    <w:p w14:paraId="79A299ED" w14:textId="77777777" w:rsidR="008F6B68" w:rsidRDefault="008F6B68">
      <w:pPr>
        <w:pStyle w:val="20"/>
        <w:framePr w:wrap="around"/>
      </w:pPr>
    </w:p>
    <w:p w14:paraId="6DF822E3" w14:textId="77777777" w:rsidR="008F6B68" w:rsidRDefault="00000000">
      <w:pPr>
        <w:pStyle w:val="affff5"/>
        <w:framePr w:wrap="around" w:x="1273" w:y="6188"/>
      </w:pPr>
      <w:r>
        <w:rPr>
          <w:rFonts w:hint="eastAsia"/>
        </w:rPr>
        <w:t>压水堆核电厂停堆系统动作后操作技术管理要求</w:t>
      </w:r>
    </w:p>
    <w:p w14:paraId="635F602A" w14:textId="77777777" w:rsidR="008F6B68" w:rsidRDefault="00000000">
      <w:pPr>
        <w:pStyle w:val="affff6"/>
        <w:framePr w:wrap="around" w:x="1273" w:y="6188"/>
      </w:pPr>
      <w:r>
        <w:t>Management Requirements for Operational Technology Following Shutdown System Actuation in PWR</w:t>
      </w:r>
      <w:r>
        <w:rPr>
          <w:rFonts w:hint="eastAsia"/>
        </w:rPr>
        <w:t xml:space="preserve"> </w:t>
      </w:r>
      <w:r>
        <w:t>Nuclear Power Plants</w:t>
      </w:r>
    </w:p>
    <w:p w14:paraId="5CF91548" w14:textId="732BCD3C" w:rsidR="008F6B68" w:rsidRDefault="008F6B68">
      <w:pPr>
        <w:pStyle w:val="affff7"/>
        <w:framePr w:wrap="around" w:x="1273" w:y="6188"/>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8F6B68" w14:paraId="042D5AE4" w14:textId="77777777">
        <w:tc>
          <w:tcPr>
            <w:tcW w:w="9855" w:type="dxa"/>
            <w:tcBorders>
              <w:top w:val="nil"/>
              <w:left w:val="nil"/>
              <w:bottom w:val="nil"/>
              <w:right w:val="nil"/>
            </w:tcBorders>
          </w:tcPr>
          <w:p w14:paraId="5AB245D1" w14:textId="77777777" w:rsidR="008F6B68" w:rsidRDefault="00000000">
            <w:pPr>
              <w:pStyle w:val="affff8"/>
              <w:framePr w:wrap="around" w:x="1273" w:y="6188"/>
            </w:pPr>
            <w:r>
              <w:rPr>
                <w:noProof/>
              </w:rPr>
              <mc:AlternateContent>
                <mc:Choice Requires="wps">
                  <w:drawing>
                    <wp:anchor distT="0" distB="0" distL="114300" distR="114300" simplePos="0" relativeHeight="251663360" behindDoc="1" locked="1" layoutInCell="1" allowOverlap="1" wp14:anchorId="5F405D25" wp14:editId="43422AD5">
                      <wp:simplePos x="0" y="0"/>
                      <wp:positionH relativeFrom="column">
                        <wp:posOffset>2200910</wp:posOffset>
                      </wp:positionH>
                      <wp:positionV relativeFrom="paragraph">
                        <wp:posOffset>573405</wp:posOffset>
                      </wp:positionV>
                      <wp:extent cx="1905000" cy="254000"/>
                      <wp:effectExtent l="0" t="0" r="3175" b="3175"/>
                      <wp:wrapNone/>
                      <wp:docPr id="94847489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5"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Fia6S1QAAAAoBAAAPAAAAAAAA&#10;AAEAIAAAACIAAABkcnMvZG93bnJldi54bWxQSwECFAAUAAAACACHTuJAR7BcwRUCAAAxBAAADgAA&#10;AAAAAAABACAAAAAkAQAAZHJzL2Uyb0RvYy54bWxQSwUGAAAAAAYABgBZAQAAqwU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2336" behindDoc="1" locked="0" layoutInCell="1" allowOverlap="1" wp14:anchorId="5C7217C7" wp14:editId="20070470">
                      <wp:simplePos x="0" y="0"/>
                      <wp:positionH relativeFrom="column">
                        <wp:posOffset>2454910</wp:posOffset>
                      </wp:positionH>
                      <wp:positionV relativeFrom="paragraph">
                        <wp:posOffset>255905</wp:posOffset>
                      </wp:positionV>
                      <wp:extent cx="1270000" cy="304800"/>
                      <wp:effectExtent l="3175" t="0" r="3175" b="3175"/>
                      <wp:wrapNone/>
                      <wp:docPr id="20130229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6"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D4Yvl1gAAAAkBAAAPAAAAAAAA&#10;AAEAIAAAACIAAABkcnMvZG93bnJldi54bWxQSwECFAAUAAAACACHTuJARl4r7RQCAAAxBAAADgAA&#10;AAAAAAABACAAAAAlAQAAZHJzL2Uyb0RvYy54bWxQSwUGAAAAAAYABgBZAQAAqwUAAAAA&#10;">
                      <v:fill on="t" focussize="0,0"/>
                      <v:stroke on="f"/>
                      <v:imagedata o:title=""/>
                      <o:lock v:ext="edit" aspectratio="f"/>
                    </v:rect>
                  </w:pict>
                </mc:Fallback>
              </mc:AlternateContent>
            </w:r>
            <w:r>
              <w:fldChar w:fldCharType="begin"/>
            </w:r>
            <w:bookmarkStart w:id="6" w:name="LB"/>
            <w:r>
              <w:instrText xml:space="preserve"> FORMDROPDOWN </w:instrText>
            </w:r>
            <w:r>
              <w:fldChar w:fldCharType="separate"/>
            </w:r>
            <w:r>
              <w:fldChar w:fldCharType="end"/>
            </w:r>
            <w:bookmarkEnd w:id="6"/>
            <w:r>
              <w:rPr>
                <w:rFonts w:hint="eastAsia"/>
              </w:rPr>
              <w:t>（征求意见稿）</w:t>
            </w:r>
          </w:p>
        </w:tc>
      </w:tr>
      <w:tr w:rsidR="008F6B68" w14:paraId="58043ECF" w14:textId="77777777">
        <w:tc>
          <w:tcPr>
            <w:tcW w:w="9855" w:type="dxa"/>
            <w:tcBorders>
              <w:top w:val="nil"/>
              <w:left w:val="nil"/>
              <w:bottom w:val="nil"/>
              <w:right w:val="nil"/>
            </w:tcBorders>
          </w:tcPr>
          <w:p w14:paraId="5B0488E2" w14:textId="644010C8" w:rsidR="008F6B68" w:rsidRDefault="004B4CB3">
            <w:pPr>
              <w:pStyle w:val="affff9"/>
              <w:framePr w:wrap="around" w:x="1273" w:y="6188"/>
            </w:pPr>
            <w:r w:rsidRPr="004B4CB3">
              <w:t>（本草案完成时间：</w:t>
            </w:r>
            <w:r w:rsidRPr="004B4CB3">
              <w:t>2025.1</w:t>
            </w:r>
            <w:r w:rsidR="00875ADC">
              <w:rPr>
                <w:rFonts w:hint="eastAsia"/>
              </w:rPr>
              <w:t>0</w:t>
            </w:r>
            <w:r w:rsidRPr="004B4CB3">
              <w:t>）</w:t>
            </w:r>
          </w:p>
        </w:tc>
      </w:tr>
    </w:tbl>
    <w:bookmarkStart w:id="7" w:name="FY"/>
    <w:p w14:paraId="35EA7CF1" w14:textId="77777777" w:rsidR="008F6B68" w:rsidRDefault="00000000">
      <w:pPr>
        <w:pStyle w:val="afffc"/>
        <w:framePr w:wrap="around" w:hAnchor="page" w:x="694" w:y="14121"/>
      </w:pPr>
      <w:r>
        <w:rPr>
          <w:rFonts w:ascii="黑体"/>
        </w:rPr>
        <w:fldChar w:fldCharType="begin"/>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7"/>
      <w:r>
        <w:t xml:space="preserve"> </w:t>
      </w:r>
      <w:r>
        <w:rPr>
          <w:rFonts w:ascii="黑体"/>
        </w:rPr>
        <w:t>-</w:t>
      </w:r>
      <w:r>
        <w:t xml:space="preserve"> </w:t>
      </w:r>
      <w:r>
        <w:rPr>
          <w:rFonts w:ascii="黑体"/>
        </w:rPr>
        <w:fldChar w:fldCharType="begin"/>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8" w:name="FD"/>
      <w:r>
        <w:rPr>
          <w:rFonts w:ascii="黑体"/>
        </w:rPr>
        <w:fldChar w:fldCharType="begin"/>
      </w:r>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hint="eastAsia"/>
        </w:rPr>
        <w:t>发布</w:t>
      </w:r>
      <w:r>
        <w:rPr>
          <w:noProof/>
        </w:rPr>
        <mc:AlternateContent>
          <mc:Choice Requires="wps">
            <w:drawing>
              <wp:anchor distT="0" distB="0" distL="114300" distR="114300" simplePos="0" relativeHeight="251659264" behindDoc="0" locked="1" layoutInCell="1" allowOverlap="1" wp14:anchorId="4841F9AE" wp14:editId="26145C82">
                <wp:simplePos x="0" y="0"/>
                <wp:positionH relativeFrom="column">
                  <wp:posOffset>-635</wp:posOffset>
                </wp:positionH>
                <wp:positionV relativeFrom="page">
                  <wp:posOffset>9251950</wp:posOffset>
                </wp:positionV>
                <wp:extent cx="6120130" cy="0"/>
                <wp:effectExtent l="10795" t="12700" r="12700" b="6350"/>
                <wp:wrapNone/>
                <wp:docPr id="18532077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7"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JYdrPNYAAAALAQAADwAAAAAAAAABACAAAAAiAAAA&#10;ZHJzL2Rvd25yZXYueG1sUEsBAhQAFAAAAAgAh07iQAk0tPHQAQAApwMAAA4AAAAAAAAAAQAgAAAA&#10;JQEAAGRycy9lMm9Eb2MueG1sUEsFBgAAAAAGAAYAWQEAAGcFAAAAAA==&#10;">
                <v:fill on="f" focussize="0,0"/>
                <v:stroke color="#000000" joinstyle="round"/>
                <v:imagedata o:title=""/>
                <o:lock v:ext="edit" aspectratio="f"/>
                <w10:anchorlock/>
              </v:line>
            </w:pict>
          </mc:Fallback>
        </mc:AlternateContent>
      </w:r>
    </w:p>
    <w:bookmarkStart w:id="9" w:name="SY"/>
    <w:p w14:paraId="7FC7F90C" w14:textId="77777777" w:rsidR="008F6B68" w:rsidRDefault="00000000">
      <w:pPr>
        <w:pStyle w:val="affffb"/>
        <w:framePr w:wrap="around" w:hAnchor="page" w:x="7161" w:y="14121"/>
      </w:pPr>
      <w:r>
        <w:rPr>
          <w:rFonts w:ascii="黑体"/>
        </w:rPr>
        <w:fldChar w:fldCharType="begin"/>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bookmarkStart w:id="10" w:name="SM"/>
      <w:r>
        <w:rPr>
          <w:rFonts w:ascii="黑体"/>
        </w:rPr>
        <w:fldChar w:fldCharType="begin"/>
      </w:r>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bookmarkStart w:id="11" w:name="SD"/>
      <w:r>
        <w:rPr>
          <w:rFonts w:ascii="黑体"/>
        </w:rPr>
        <w:fldChar w:fldCharType="begin"/>
      </w:r>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实施</w:t>
      </w:r>
    </w:p>
    <w:p w14:paraId="35AA36D9" w14:textId="77777777" w:rsidR="008F6B68" w:rsidRDefault="00000000">
      <w:pPr>
        <w:pStyle w:val="affffd"/>
        <w:framePr w:wrap="around"/>
      </w:pPr>
      <w:r>
        <w:rPr>
          <w:rFonts w:hint="eastAsia"/>
        </w:rPr>
        <w:t>中国核能行业协会</w:t>
      </w:r>
      <w:r>
        <w:rPr>
          <w:rFonts w:ascii="Cambria Math" w:hAnsi="Cambria Math" w:cs="Cambria Math"/>
        </w:rPr>
        <w:t>   </w:t>
      </w:r>
      <w:r>
        <w:rPr>
          <w:rStyle w:val="affffe"/>
          <w:rFonts w:hint="eastAsia"/>
        </w:rPr>
        <w:t>发布</w:t>
      </w:r>
    </w:p>
    <w:p w14:paraId="5E06F57A" w14:textId="77777777" w:rsidR="008F6B68" w:rsidRDefault="00000000">
      <w:pPr>
        <w:pStyle w:val="aff9"/>
        <w:ind w:firstLineChars="0" w:firstLine="0"/>
        <w:sectPr w:rsidR="008F6B68">
          <w:headerReference w:type="even" r:id="rId10"/>
          <w:footerReference w:type="even" r:id="rId11"/>
          <w:pgSz w:w="11906" w:h="16838"/>
          <w:pgMar w:top="567" w:right="1134" w:bottom="1134" w:left="1417" w:header="0" w:footer="0" w:gutter="0"/>
          <w:pgNumType w:start="1"/>
          <w:cols w:space="425"/>
          <w:docGrid w:type="lines" w:linePitch="312"/>
        </w:sectPr>
      </w:pPr>
      <w:r>
        <w:rPr>
          <w:noProof/>
        </w:rPr>
        <mc:AlternateContent>
          <mc:Choice Requires="wps">
            <w:drawing>
              <wp:anchor distT="0" distB="0" distL="114300" distR="114300" simplePos="0" relativeHeight="251660288" behindDoc="0" locked="0" layoutInCell="1" allowOverlap="1" wp14:anchorId="762DA7F6" wp14:editId="5091862C">
                <wp:simplePos x="0" y="0"/>
                <wp:positionH relativeFrom="column">
                  <wp:posOffset>-635</wp:posOffset>
                </wp:positionH>
                <wp:positionV relativeFrom="paragraph">
                  <wp:posOffset>2339975</wp:posOffset>
                </wp:positionV>
                <wp:extent cx="6120130" cy="0"/>
                <wp:effectExtent l="13335" t="13970" r="10160" b="5080"/>
                <wp:wrapNone/>
                <wp:docPr id="155929422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8"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EJB4l/XAAAACQEAAA8AAAAAAAAAAQAgAAAAIgAA&#10;AGRycy9kb3ducmV2LnhtbFBLAQIUABQAAAAIAIdO4kAqGk5r0AEAAKgDAAAOAAAAAAAAAAEAIAAA&#10;ACYBAABkcnMvZTJvRG9jLnhtbFBLBQYAAAAABgAGAFkBAABoBQAAAAA=&#10;">
                <v:fill on="f" focussize="0,0"/>
                <v:stroke color="#000000" joinstyle="round"/>
                <v:imagedata o:title=""/>
                <o:lock v:ext="edit" aspectratio="f"/>
              </v:line>
            </w:pict>
          </mc:Fallback>
        </mc:AlternateContent>
      </w:r>
    </w:p>
    <w:bookmarkStart w:id="12" w:name="_Toc46228652" w:displacedByCustomXml="next"/>
    <w:bookmarkStart w:id="13" w:name="_Toc142042956" w:displacedByCustomXml="next"/>
    <w:sdt>
      <w:sdtPr>
        <w:rPr>
          <w:rFonts w:ascii="Times New Roman" w:eastAsia="宋体" w:hAnsi="Times New Roman" w:cs="Times New Roman"/>
          <w:color w:val="auto"/>
          <w:kern w:val="2"/>
          <w:sz w:val="21"/>
          <w:szCs w:val="24"/>
          <w:lang w:val="zh-CN"/>
        </w:rPr>
        <w:id w:val="-1718893382"/>
        <w:docPartObj>
          <w:docPartGallery w:val="Table of Contents"/>
          <w:docPartUnique/>
        </w:docPartObj>
      </w:sdtPr>
      <w:sdtEndPr>
        <w:rPr>
          <w:b/>
          <w:bCs/>
        </w:rPr>
      </w:sdtEndPr>
      <w:sdtContent>
        <w:p w14:paraId="4C043092" w14:textId="77777777" w:rsidR="008F6B68" w:rsidRDefault="00000000">
          <w:pPr>
            <w:pStyle w:val="TOC10"/>
            <w:jc w:val="center"/>
            <w:rPr>
              <w:rFonts w:hint="eastAsia"/>
              <w:b/>
              <w:color w:val="auto"/>
            </w:rPr>
          </w:pPr>
          <w:r>
            <w:rPr>
              <w:b/>
              <w:color w:val="auto"/>
              <w:lang w:val="zh-CN"/>
            </w:rPr>
            <w:t>目</w:t>
          </w:r>
          <w:r>
            <w:rPr>
              <w:rFonts w:hint="eastAsia"/>
              <w:b/>
              <w:color w:val="auto"/>
              <w:lang w:val="zh-CN"/>
            </w:rPr>
            <w:t xml:space="preserve"> </w:t>
          </w:r>
          <w:r>
            <w:rPr>
              <w:b/>
              <w:color w:val="auto"/>
              <w:lang w:val="zh-CN"/>
            </w:rPr>
            <w:t xml:space="preserve">  </w:t>
          </w:r>
          <w:r>
            <w:rPr>
              <w:rFonts w:hint="eastAsia"/>
              <w:b/>
              <w:color w:val="auto"/>
              <w:lang w:val="zh-CN"/>
            </w:rPr>
            <w:t>次</w:t>
          </w:r>
        </w:p>
        <w:p w14:paraId="57C8366A" w14:textId="77777777" w:rsidR="008F6B68" w:rsidRDefault="00000000">
          <w:pPr>
            <w:pStyle w:val="TOC1"/>
            <w:tabs>
              <w:tab w:val="clear" w:pos="9241"/>
              <w:tab w:val="right" w:leader="dot" w:pos="9355"/>
            </w:tabs>
            <w:spacing w:before="78" w:after="78"/>
          </w:pPr>
          <w:r>
            <w:fldChar w:fldCharType="begin"/>
          </w:r>
          <w:r>
            <w:instrText xml:space="preserve"> TOC \o "1-3" \h \z \u </w:instrText>
          </w:r>
          <w:r>
            <w:fldChar w:fldCharType="separate"/>
          </w:r>
          <w:hyperlink w:anchor="_Toc7243" w:history="1">
            <w:r w:rsidR="008F6B68">
              <w:rPr>
                <w:rFonts w:hint="eastAsia"/>
              </w:rPr>
              <w:t>前</w:t>
            </w:r>
            <w:r w:rsidR="008F6B68">
              <w:t>  </w:t>
            </w:r>
            <w:r w:rsidR="008F6B68">
              <w:rPr>
                <w:rFonts w:hint="eastAsia"/>
              </w:rPr>
              <w:t>言</w:t>
            </w:r>
            <w:r w:rsidR="008F6B68">
              <w:tab/>
            </w:r>
            <w:r w:rsidR="008F6B68">
              <w:fldChar w:fldCharType="begin"/>
            </w:r>
            <w:r w:rsidR="008F6B68">
              <w:instrText xml:space="preserve"> PAGEREF _Toc7243 \h </w:instrText>
            </w:r>
            <w:r w:rsidR="008F6B68">
              <w:fldChar w:fldCharType="separate"/>
            </w:r>
            <w:r w:rsidR="008F6B68">
              <w:t>III</w:t>
            </w:r>
            <w:r w:rsidR="008F6B68">
              <w:fldChar w:fldCharType="end"/>
            </w:r>
          </w:hyperlink>
        </w:p>
        <w:p w14:paraId="36DC777F" w14:textId="77777777" w:rsidR="008F6B68" w:rsidRDefault="008F6B68">
          <w:pPr>
            <w:pStyle w:val="TOC1"/>
            <w:tabs>
              <w:tab w:val="clear" w:pos="9241"/>
              <w:tab w:val="right" w:leader="dot" w:pos="9355"/>
            </w:tabs>
            <w:spacing w:before="78" w:after="78"/>
          </w:pPr>
          <w:hyperlink w:anchor="_Toc29587" w:history="1">
            <w:r>
              <w:rPr>
                <w:rFonts w:hint="eastAsia"/>
              </w:rPr>
              <w:t>压水堆核电厂停堆系统动作后操作技术管理要求</w:t>
            </w:r>
            <w:r>
              <w:tab/>
            </w:r>
            <w:r>
              <w:fldChar w:fldCharType="begin"/>
            </w:r>
            <w:r>
              <w:instrText xml:space="preserve"> PAGEREF _Toc29587 \h </w:instrText>
            </w:r>
            <w:r>
              <w:fldChar w:fldCharType="separate"/>
            </w:r>
            <w:r>
              <w:t>1</w:t>
            </w:r>
            <w:r>
              <w:fldChar w:fldCharType="end"/>
            </w:r>
          </w:hyperlink>
        </w:p>
        <w:p w14:paraId="42E107B2" w14:textId="77777777" w:rsidR="008F6B68" w:rsidRDefault="008F6B68">
          <w:pPr>
            <w:pStyle w:val="TOC2"/>
            <w:tabs>
              <w:tab w:val="clear" w:pos="9241"/>
              <w:tab w:val="right" w:leader="dot" w:pos="9355"/>
            </w:tabs>
          </w:pPr>
          <w:hyperlink w:anchor="_Toc28422" w:history="1">
            <w:r>
              <w:rPr>
                <w:rFonts w:ascii="黑体" w:eastAsia="黑体" w:hint="eastAsia"/>
              </w:rPr>
              <w:t xml:space="preserve">1 </w:t>
            </w:r>
            <w:r>
              <w:rPr>
                <w:rFonts w:hint="eastAsia"/>
              </w:rPr>
              <w:t>范围</w:t>
            </w:r>
            <w:r>
              <w:tab/>
            </w:r>
            <w:r>
              <w:fldChar w:fldCharType="begin"/>
            </w:r>
            <w:r>
              <w:instrText xml:space="preserve"> PAGEREF _Toc28422 \h </w:instrText>
            </w:r>
            <w:r>
              <w:fldChar w:fldCharType="separate"/>
            </w:r>
            <w:r>
              <w:t>1</w:t>
            </w:r>
            <w:r>
              <w:fldChar w:fldCharType="end"/>
            </w:r>
          </w:hyperlink>
        </w:p>
        <w:p w14:paraId="4DF11938" w14:textId="77777777" w:rsidR="008F6B68" w:rsidRDefault="008F6B68">
          <w:pPr>
            <w:pStyle w:val="TOC2"/>
            <w:tabs>
              <w:tab w:val="clear" w:pos="9241"/>
              <w:tab w:val="right" w:leader="dot" w:pos="9355"/>
            </w:tabs>
          </w:pPr>
          <w:hyperlink w:anchor="_Toc9059" w:history="1">
            <w:r>
              <w:rPr>
                <w:rFonts w:ascii="黑体" w:eastAsia="黑体" w:hint="eastAsia"/>
              </w:rPr>
              <w:t xml:space="preserve">2 </w:t>
            </w:r>
            <w:r>
              <w:rPr>
                <w:rFonts w:hint="eastAsia"/>
              </w:rPr>
              <w:t>规范性引用文件</w:t>
            </w:r>
            <w:r>
              <w:tab/>
            </w:r>
            <w:r>
              <w:fldChar w:fldCharType="begin"/>
            </w:r>
            <w:r>
              <w:instrText xml:space="preserve"> PAGEREF _Toc9059 \h </w:instrText>
            </w:r>
            <w:r>
              <w:fldChar w:fldCharType="separate"/>
            </w:r>
            <w:r>
              <w:t>1</w:t>
            </w:r>
            <w:r>
              <w:fldChar w:fldCharType="end"/>
            </w:r>
          </w:hyperlink>
        </w:p>
        <w:p w14:paraId="35616637" w14:textId="77777777" w:rsidR="008F6B68" w:rsidRDefault="008F6B68">
          <w:pPr>
            <w:pStyle w:val="TOC2"/>
            <w:tabs>
              <w:tab w:val="clear" w:pos="9241"/>
              <w:tab w:val="right" w:leader="dot" w:pos="9355"/>
            </w:tabs>
          </w:pPr>
          <w:hyperlink w:anchor="_Toc412" w:history="1">
            <w:r>
              <w:rPr>
                <w:rFonts w:ascii="黑体" w:eastAsia="黑体" w:hint="eastAsia"/>
              </w:rPr>
              <w:t xml:space="preserve">3 </w:t>
            </w:r>
            <w:r>
              <w:rPr>
                <w:rFonts w:hint="eastAsia"/>
              </w:rPr>
              <w:t>术语和定义</w:t>
            </w:r>
            <w:r>
              <w:tab/>
            </w:r>
            <w:r>
              <w:fldChar w:fldCharType="begin"/>
            </w:r>
            <w:r>
              <w:instrText xml:space="preserve"> PAGEREF _Toc412 \h </w:instrText>
            </w:r>
            <w:r>
              <w:fldChar w:fldCharType="separate"/>
            </w:r>
            <w:r>
              <w:t>1</w:t>
            </w:r>
            <w:r>
              <w:fldChar w:fldCharType="end"/>
            </w:r>
          </w:hyperlink>
        </w:p>
        <w:p w14:paraId="749B22E5" w14:textId="77777777" w:rsidR="008F6B68" w:rsidRDefault="008F6B68">
          <w:pPr>
            <w:pStyle w:val="TOC3"/>
            <w:tabs>
              <w:tab w:val="clear" w:pos="9241"/>
              <w:tab w:val="right" w:leader="dot" w:pos="9355"/>
            </w:tabs>
            <w:ind w:firstLine="210"/>
          </w:pPr>
          <w:hyperlink w:anchor="_Toc26288" w:history="1">
            <w:r>
              <w:rPr>
                <w:rFonts w:hint="eastAsia"/>
              </w:rPr>
              <w:t>3.</w:t>
            </w:r>
            <w:r>
              <w:t>1</w:t>
            </w:r>
            <w:r>
              <w:rPr>
                <w:rFonts w:hint="eastAsia"/>
              </w:rPr>
              <w:t>核事故 nuclear accident</w:t>
            </w:r>
            <w:r>
              <w:tab/>
            </w:r>
            <w:r>
              <w:fldChar w:fldCharType="begin"/>
            </w:r>
            <w:r>
              <w:instrText xml:space="preserve"> PAGEREF _Toc26288 \h </w:instrText>
            </w:r>
            <w:r>
              <w:fldChar w:fldCharType="separate"/>
            </w:r>
            <w:r>
              <w:t>1</w:t>
            </w:r>
            <w:r>
              <w:fldChar w:fldCharType="end"/>
            </w:r>
          </w:hyperlink>
        </w:p>
        <w:p w14:paraId="7E96A000" w14:textId="77777777" w:rsidR="008F6B68" w:rsidRDefault="008F6B68">
          <w:pPr>
            <w:pStyle w:val="TOC3"/>
            <w:tabs>
              <w:tab w:val="clear" w:pos="9241"/>
              <w:tab w:val="right" w:leader="dot" w:pos="9355"/>
            </w:tabs>
            <w:ind w:firstLine="210"/>
          </w:pPr>
          <w:hyperlink w:anchor="_Toc9001" w:history="1">
            <w:r>
              <w:rPr>
                <w:rFonts w:hint="eastAsia"/>
              </w:rPr>
              <w:t xml:space="preserve">3.2纵深防御 </w:t>
            </w:r>
            <w:r>
              <w:rPr>
                <w:rFonts w:ascii="黑体" w:eastAsia="黑体" w:hint="eastAsia"/>
              </w:rPr>
              <w:t>Defense in Depth</w:t>
            </w:r>
            <w:r>
              <w:tab/>
            </w:r>
            <w:r>
              <w:fldChar w:fldCharType="begin"/>
            </w:r>
            <w:r>
              <w:instrText xml:space="preserve"> PAGEREF _Toc9001 \h </w:instrText>
            </w:r>
            <w:r>
              <w:fldChar w:fldCharType="separate"/>
            </w:r>
            <w:r>
              <w:t>1</w:t>
            </w:r>
            <w:r>
              <w:fldChar w:fldCharType="end"/>
            </w:r>
          </w:hyperlink>
        </w:p>
        <w:p w14:paraId="73852718" w14:textId="77777777" w:rsidR="008F6B68" w:rsidRDefault="008F6B68">
          <w:pPr>
            <w:pStyle w:val="TOC3"/>
            <w:tabs>
              <w:tab w:val="clear" w:pos="9241"/>
              <w:tab w:val="right" w:leader="dot" w:pos="9355"/>
            </w:tabs>
            <w:ind w:firstLine="210"/>
          </w:pPr>
          <w:hyperlink w:anchor="_Toc10701" w:history="1">
            <w:r>
              <w:rPr>
                <w:rFonts w:hint="eastAsia"/>
              </w:rPr>
              <w:t xml:space="preserve">3.3核设施营运单位 </w:t>
            </w:r>
            <w:r>
              <w:rPr>
                <w:rFonts w:ascii="黑体" w:eastAsia="黑体" w:hint="eastAsia"/>
              </w:rPr>
              <w:t>Nuclear Facility Operator</w:t>
            </w:r>
            <w:r>
              <w:tab/>
            </w:r>
            <w:r>
              <w:fldChar w:fldCharType="begin"/>
            </w:r>
            <w:r>
              <w:instrText xml:space="preserve"> PAGEREF _Toc10701 \h </w:instrText>
            </w:r>
            <w:r>
              <w:fldChar w:fldCharType="separate"/>
            </w:r>
            <w:r>
              <w:t>1</w:t>
            </w:r>
            <w:r>
              <w:fldChar w:fldCharType="end"/>
            </w:r>
          </w:hyperlink>
        </w:p>
        <w:p w14:paraId="5639B0BD" w14:textId="77777777" w:rsidR="008F6B68" w:rsidRDefault="008F6B68">
          <w:pPr>
            <w:pStyle w:val="TOC3"/>
            <w:tabs>
              <w:tab w:val="clear" w:pos="9241"/>
              <w:tab w:val="right" w:leader="dot" w:pos="9355"/>
            </w:tabs>
            <w:ind w:firstLine="210"/>
          </w:pPr>
          <w:hyperlink w:anchor="_Toc9255" w:history="1">
            <w:r>
              <w:rPr>
                <w:rFonts w:hint="eastAsia"/>
              </w:rPr>
              <w:t xml:space="preserve">3.4停堆关键安全功能 </w:t>
            </w:r>
            <w:r>
              <w:rPr>
                <w:rFonts w:ascii="黑体" w:eastAsia="黑体" w:hint="eastAsia"/>
              </w:rPr>
              <w:t xml:space="preserve">Shutdown </w:t>
            </w:r>
            <w:r>
              <w:rPr>
                <w:rFonts w:hint="eastAsia"/>
              </w:rPr>
              <w:t>Key</w:t>
            </w:r>
            <w:r>
              <w:rPr>
                <w:rFonts w:ascii="黑体" w:eastAsia="黑体" w:hint="eastAsia"/>
              </w:rPr>
              <w:t xml:space="preserve"> Safety Function</w:t>
            </w:r>
            <w:r>
              <w:tab/>
            </w:r>
            <w:r>
              <w:fldChar w:fldCharType="begin"/>
            </w:r>
            <w:r>
              <w:instrText xml:space="preserve"> PAGEREF _Toc9255 \h </w:instrText>
            </w:r>
            <w:r>
              <w:fldChar w:fldCharType="separate"/>
            </w:r>
            <w:r>
              <w:t>1</w:t>
            </w:r>
            <w:r>
              <w:fldChar w:fldCharType="end"/>
            </w:r>
          </w:hyperlink>
        </w:p>
        <w:p w14:paraId="7E3E2796" w14:textId="77777777" w:rsidR="008F6B68" w:rsidRDefault="008F6B68">
          <w:pPr>
            <w:pStyle w:val="TOC3"/>
            <w:tabs>
              <w:tab w:val="clear" w:pos="9241"/>
              <w:tab w:val="right" w:leader="dot" w:pos="9355"/>
            </w:tabs>
            <w:ind w:firstLine="210"/>
          </w:pPr>
          <w:hyperlink w:anchor="_Toc758" w:history="1">
            <w:r>
              <w:rPr>
                <w:rFonts w:hint="eastAsia"/>
              </w:rPr>
              <w:t xml:space="preserve">3.5高风险活动 </w:t>
            </w:r>
            <w:r>
              <w:rPr>
                <w:rFonts w:ascii="黑体" w:eastAsia="黑体" w:hint="eastAsia"/>
              </w:rPr>
              <w:t>High-Risk Activities</w:t>
            </w:r>
            <w:r>
              <w:tab/>
            </w:r>
            <w:r>
              <w:fldChar w:fldCharType="begin"/>
            </w:r>
            <w:r>
              <w:instrText xml:space="preserve"> PAGEREF _Toc758 \h </w:instrText>
            </w:r>
            <w:r>
              <w:fldChar w:fldCharType="separate"/>
            </w:r>
            <w:r>
              <w:t>2</w:t>
            </w:r>
            <w:r>
              <w:fldChar w:fldCharType="end"/>
            </w:r>
          </w:hyperlink>
        </w:p>
        <w:p w14:paraId="31819908" w14:textId="77777777" w:rsidR="008F6B68" w:rsidRDefault="008F6B68">
          <w:pPr>
            <w:pStyle w:val="TOC3"/>
            <w:tabs>
              <w:tab w:val="clear" w:pos="9241"/>
              <w:tab w:val="right" w:leader="dot" w:pos="9355"/>
            </w:tabs>
            <w:ind w:firstLine="210"/>
          </w:pPr>
          <w:hyperlink w:anchor="_Toc21219" w:history="1">
            <w:r>
              <w:rPr>
                <w:rFonts w:hint="eastAsia"/>
              </w:rPr>
              <w:t xml:space="preserve">3.6自然循环 </w:t>
            </w:r>
            <w:r>
              <w:rPr>
                <w:rFonts w:ascii="黑体" w:eastAsia="黑体" w:hint="eastAsia"/>
              </w:rPr>
              <w:t>Natural Circulation</w:t>
            </w:r>
            <w:r>
              <w:tab/>
            </w:r>
            <w:r>
              <w:fldChar w:fldCharType="begin"/>
            </w:r>
            <w:r>
              <w:instrText xml:space="preserve"> PAGEREF _Toc21219 \h </w:instrText>
            </w:r>
            <w:r>
              <w:fldChar w:fldCharType="separate"/>
            </w:r>
            <w:r>
              <w:t>2</w:t>
            </w:r>
            <w:r>
              <w:fldChar w:fldCharType="end"/>
            </w:r>
          </w:hyperlink>
        </w:p>
        <w:p w14:paraId="53D8A557" w14:textId="77777777" w:rsidR="008F6B68" w:rsidRDefault="008F6B68">
          <w:pPr>
            <w:pStyle w:val="TOC3"/>
            <w:tabs>
              <w:tab w:val="clear" w:pos="9241"/>
              <w:tab w:val="right" w:leader="dot" w:pos="9355"/>
            </w:tabs>
            <w:ind w:firstLine="210"/>
          </w:pPr>
          <w:hyperlink w:anchor="_Toc23614" w:history="1">
            <w:r>
              <w:rPr>
                <w:rFonts w:hint="eastAsia"/>
              </w:rPr>
              <w:t xml:space="preserve">3.7安全停堆状态 </w:t>
            </w:r>
            <w:r>
              <w:rPr>
                <w:rFonts w:ascii="黑体" w:eastAsia="黑体" w:hint="eastAsia"/>
              </w:rPr>
              <w:t>Safe Shutdown State</w:t>
            </w:r>
            <w:r>
              <w:tab/>
            </w:r>
            <w:r>
              <w:fldChar w:fldCharType="begin"/>
            </w:r>
            <w:r>
              <w:instrText xml:space="preserve"> PAGEREF _Toc23614 \h </w:instrText>
            </w:r>
            <w:r>
              <w:fldChar w:fldCharType="separate"/>
            </w:r>
            <w:r>
              <w:t>2</w:t>
            </w:r>
            <w:r>
              <w:fldChar w:fldCharType="end"/>
            </w:r>
          </w:hyperlink>
        </w:p>
        <w:p w14:paraId="394BE7DA" w14:textId="77777777" w:rsidR="008F6B68" w:rsidRDefault="008F6B68">
          <w:pPr>
            <w:pStyle w:val="TOC2"/>
            <w:tabs>
              <w:tab w:val="clear" w:pos="9241"/>
              <w:tab w:val="right" w:leader="dot" w:pos="9355"/>
            </w:tabs>
          </w:pPr>
          <w:hyperlink w:anchor="_Toc23094" w:history="1">
            <w:r>
              <w:rPr>
                <w:rFonts w:ascii="黑体" w:eastAsia="黑体" w:hint="eastAsia"/>
              </w:rPr>
              <w:t xml:space="preserve">4 </w:t>
            </w:r>
            <w:r>
              <w:rPr>
                <w:rFonts w:hint="eastAsia"/>
                <w:szCs w:val="20"/>
              </w:rPr>
              <w:t>总则</w:t>
            </w:r>
            <w:r>
              <w:tab/>
            </w:r>
            <w:r>
              <w:fldChar w:fldCharType="begin"/>
            </w:r>
            <w:r>
              <w:instrText xml:space="preserve"> PAGEREF _Toc23094 \h </w:instrText>
            </w:r>
            <w:r>
              <w:fldChar w:fldCharType="separate"/>
            </w:r>
            <w:r>
              <w:t>2</w:t>
            </w:r>
            <w:r>
              <w:fldChar w:fldCharType="end"/>
            </w:r>
          </w:hyperlink>
        </w:p>
        <w:p w14:paraId="300A6998" w14:textId="77777777" w:rsidR="008F6B68" w:rsidRDefault="008F6B68">
          <w:pPr>
            <w:pStyle w:val="TOC2"/>
            <w:tabs>
              <w:tab w:val="clear" w:pos="9241"/>
              <w:tab w:val="right" w:leader="dot" w:pos="9355"/>
            </w:tabs>
          </w:pPr>
          <w:hyperlink w:anchor="_Toc16869" w:history="1">
            <w:r>
              <w:rPr>
                <w:rFonts w:ascii="黑体" w:eastAsia="黑体" w:hint="eastAsia"/>
              </w:rPr>
              <w:t xml:space="preserve">5 </w:t>
            </w:r>
            <w:r>
              <w:rPr>
                <w:rFonts w:hint="eastAsia"/>
              </w:rPr>
              <w:t>反应堆紧急停堆功能一般要求</w:t>
            </w:r>
            <w:r>
              <w:tab/>
            </w:r>
            <w:r>
              <w:fldChar w:fldCharType="begin"/>
            </w:r>
            <w:r>
              <w:instrText xml:space="preserve"> PAGEREF _Toc16869 \h </w:instrText>
            </w:r>
            <w:r>
              <w:fldChar w:fldCharType="separate"/>
            </w:r>
            <w:r>
              <w:t>2</w:t>
            </w:r>
            <w:r>
              <w:fldChar w:fldCharType="end"/>
            </w:r>
          </w:hyperlink>
        </w:p>
        <w:p w14:paraId="1A81A611" w14:textId="77777777" w:rsidR="008F6B68" w:rsidRDefault="008F6B68">
          <w:pPr>
            <w:pStyle w:val="TOC3"/>
            <w:tabs>
              <w:tab w:val="clear" w:pos="9241"/>
              <w:tab w:val="right" w:leader="dot" w:pos="9355"/>
            </w:tabs>
            <w:ind w:firstLine="210"/>
          </w:pPr>
          <w:hyperlink w:anchor="_Toc5890" w:history="1">
            <w:r>
              <w:rPr>
                <w:rFonts w:hint="eastAsia"/>
              </w:rPr>
              <w:t>5.</w:t>
            </w:r>
            <w:r>
              <w:t>1</w:t>
            </w:r>
            <w:r>
              <w:rPr>
                <w:rFonts w:hint="eastAsia"/>
              </w:rPr>
              <w:t>反应堆紧急停堆系统功能要求</w:t>
            </w:r>
            <w:r>
              <w:tab/>
            </w:r>
            <w:r>
              <w:fldChar w:fldCharType="begin"/>
            </w:r>
            <w:r>
              <w:instrText xml:space="preserve"> PAGEREF _Toc5890 \h </w:instrText>
            </w:r>
            <w:r>
              <w:fldChar w:fldCharType="separate"/>
            </w:r>
            <w:r>
              <w:t>2</w:t>
            </w:r>
            <w:r>
              <w:fldChar w:fldCharType="end"/>
            </w:r>
          </w:hyperlink>
        </w:p>
        <w:p w14:paraId="7ACC9657" w14:textId="77777777" w:rsidR="008F6B68" w:rsidRDefault="008F6B68">
          <w:pPr>
            <w:pStyle w:val="TOC3"/>
            <w:tabs>
              <w:tab w:val="clear" w:pos="9241"/>
              <w:tab w:val="right" w:leader="dot" w:pos="9355"/>
            </w:tabs>
            <w:ind w:firstLine="210"/>
          </w:pPr>
          <w:hyperlink w:anchor="_Toc8288" w:history="1">
            <w:r>
              <w:rPr>
                <w:rFonts w:hint="eastAsia"/>
              </w:rPr>
              <w:t>5.</w:t>
            </w:r>
            <w:r>
              <w:t>2</w:t>
            </w:r>
            <w:r>
              <w:rPr>
                <w:rFonts w:hint="eastAsia"/>
              </w:rPr>
              <w:t>反应堆紧急停堆系统特性要求</w:t>
            </w:r>
            <w:r>
              <w:tab/>
            </w:r>
            <w:r>
              <w:fldChar w:fldCharType="begin"/>
            </w:r>
            <w:r>
              <w:instrText xml:space="preserve"> PAGEREF _Toc8288 \h </w:instrText>
            </w:r>
            <w:r>
              <w:fldChar w:fldCharType="separate"/>
            </w:r>
            <w:r>
              <w:t>3</w:t>
            </w:r>
            <w:r>
              <w:fldChar w:fldCharType="end"/>
            </w:r>
          </w:hyperlink>
        </w:p>
        <w:p w14:paraId="15B08257" w14:textId="77777777" w:rsidR="008F6B68" w:rsidRDefault="008F6B68">
          <w:pPr>
            <w:pStyle w:val="TOC3"/>
            <w:tabs>
              <w:tab w:val="clear" w:pos="9241"/>
              <w:tab w:val="right" w:leader="dot" w:pos="9355"/>
            </w:tabs>
            <w:ind w:firstLine="210"/>
          </w:pPr>
          <w:hyperlink w:anchor="_Toc8860" w:history="1">
            <w:r>
              <w:rPr>
                <w:rFonts w:hint="eastAsia"/>
              </w:rPr>
              <w:t>5.</w:t>
            </w:r>
            <w:r>
              <w:t>3</w:t>
            </w:r>
            <w:r>
              <w:rPr>
                <w:rFonts w:hint="eastAsia"/>
              </w:rPr>
              <w:t>反应堆紧急停堆功能相关系统要求</w:t>
            </w:r>
            <w:r>
              <w:tab/>
            </w:r>
            <w:r>
              <w:fldChar w:fldCharType="begin"/>
            </w:r>
            <w:r>
              <w:instrText xml:space="preserve"> PAGEREF _Toc8860 \h </w:instrText>
            </w:r>
            <w:r>
              <w:fldChar w:fldCharType="separate"/>
            </w:r>
            <w:r>
              <w:t>3</w:t>
            </w:r>
            <w:r>
              <w:fldChar w:fldCharType="end"/>
            </w:r>
          </w:hyperlink>
        </w:p>
        <w:p w14:paraId="2F850B77" w14:textId="77777777" w:rsidR="008F6B68" w:rsidRDefault="008F6B68">
          <w:pPr>
            <w:pStyle w:val="TOC3"/>
            <w:tabs>
              <w:tab w:val="clear" w:pos="9241"/>
              <w:tab w:val="right" w:leader="dot" w:pos="9355"/>
            </w:tabs>
            <w:ind w:firstLine="210"/>
          </w:pPr>
          <w:hyperlink w:anchor="_Toc22421" w:history="1">
            <w:r>
              <w:rPr>
                <w:rFonts w:hint="eastAsia"/>
              </w:rPr>
              <w:t>5.</w:t>
            </w:r>
            <w:r>
              <w:t>4</w:t>
            </w:r>
            <w:r>
              <w:rPr>
                <w:rFonts w:hint="eastAsia"/>
              </w:rPr>
              <w:t>达到安全停堆状态必须的系统功能</w:t>
            </w:r>
            <w:r>
              <w:tab/>
            </w:r>
            <w:r>
              <w:fldChar w:fldCharType="begin"/>
            </w:r>
            <w:r>
              <w:instrText xml:space="preserve"> PAGEREF _Toc22421 \h </w:instrText>
            </w:r>
            <w:r>
              <w:fldChar w:fldCharType="separate"/>
            </w:r>
            <w:r>
              <w:t>4</w:t>
            </w:r>
            <w:r>
              <w:fldChar w:fldCharType="end"/>
            </w:r>
          </w:hyperlink>
        </w:p>
        <w:p w14:paraId="1E158F20" w14:textId="77777777" w:rsidR="008F6B68" w:rsidRDefault="008F6B68">
          <w:pPr>
            <w:pStyle w:val="TOC2"/>
            <w:tabs>
              <w:tab w:val="clear" w:pos="9241"/>
              <w:tab w:val="right" w:leader="dot" w:pos="9355"/>
            </w:tabs>
          </w:pPr>
          <w:hyperlink w:anchor="_Toc398" w:history="1">
            <w:r>
              <w:rPr>
                <w:rFonts w:ascii="黑体" w:eastAsia="黑体" w:hint="eastAsia"/>
              </w:rPr>
              <w:t xml:space="preserve">6 </w:t>
            </w:r>
            <w:r>
              <w:rPr>
                <w:rFonts w:hint="eastAsia"/>
              </w:rPr>
              <w:t>核安全法规要求</w:t>
            </w:r>
            <w:r>
              <w:tab/>
            </w:r>
            <w:r>
              <w:fldChar w:fldCharType="begin"/>
            </w:r>
            <w:r>
              <w:instrText xml:space="preserve"> PAGEREF _Toc398 \h </w:instrText>
            </w:r>
            <w:r>
              <w:fldChar w:fldCharType="separate"/>
            </w:r>
            <w:r>
              <w:t>8</w:t>
            </w:r>
            <w:r>
              <w:fldChar w:fldCharType="end"/>
            </w:r>
          </w:hyperlink>
        </w:p>
        <w:p w14:paraId="3C208F9F" w14:textId="77777777" w:rsidR="008F6B68" w:rsidRDefault="008F6B68">
          <w:pPr>
            <w:pStyle w:val="TOC3"/>
            <w:tabs>
              <w:tab w:val="clear" w:pos="9241"/>
              <w:tab w:val="right" w:leader="dot" w:pos="9355"/>
            </w:tabs>
            <w:ind w:firstLine="210"/>
          </w:pPr>
          <w:hyperlink w:anchor="_Toc29988" w:history="1">
            <w:r>
              <w:rPr>
                <w:rFonts w:hint="eastAsia"/>
              </w:rPr>
              <w:t>6.1总体要求</w:t>
            </w:r>
            <w:r>
              <w:tab/>
            </w:r>
            <w:r>
              <w:fldChar w:fldCharType="begin"/>
            </w:r>
            <w:r>
              <w:instrText xml:space="preserve"> PAGEREF _Toc29988 \h </w:instrText>
            </w:r>
            <w:r>
              <w:fldChar w:fldCharType="separate"/>
            </w:r>
            <w:r>
              <w:t>8</w:t>
            </w:r>
            <w:r>
              <w:fldChar w:fldCharType="end"/>
            </w:r>
          </w:hyperlink>
        </w:p>
        <w:p w14:paraId="4832AE2A" w14:textId="77777777" w:rsidR="008F6B68" w:rsidRDefault="008F6B68">
          <w:pPr>
            <w:pStyle w:val="TOC3"/>
            <w:tabs>
              <w:tab w:val="clear" w:pos="9241"/>
              <w:tab w:val="right" w:leader="dot" w:pos="9355"/>
            </w:tabs>
            <w:ind w:firstLine="210"/>
          </w:pPr>
          <w:hyperlink w:anchor="_Toc8530" w:history="1">
            <w:r>
              <w:rPr>
                <w:rFonts w:hint="eastAsia"/>
              </w:rPr>
              <w:t>6.2事故停堆要求</w:t>
            </w:r>
            <w:r>
              <w:tab/>
            </w:r>
            <w:r>
              <w:fldChar w:fldCharType="begin"/>
            </w:r>
            <w:r>
              <w:instrText xml:space="preserve"> PAGEREF _Toc8530 \h </w:instrText>
            </w:r>
            <w:r>
              <w:fldChar w:fldCharType="separate"/>
            </w:r>
            <w:r>
              <w:t>8</w:t>
            </w:r>
            <w:r>
              <w:fldChar w:fldCharType="end"/>
            </w:r>
          </w:hyperlink>
        </w:p>
        <w:p w14:paraId="5B504E35" w14:textId="77777777" w:rsidR="008F6B68" w:rsidRDefault="008F6B68">
          <w:pPr>
            <w:pStyle w:val="TOC3"/>
            <w:tabs>
              <w:tab w:val="clear" w:pos="9241"/>
              <w:tab w:val="right" w:leader="dot" w:pos="9355"/>
            </w:tabs>
            <w:ind w:firstLine="210"/>
          </w:pPr>
          <w:hyperlink w:anchor="_Toc13736" w:history="1">
            <w:r>
              <w:rPr>
                <w:rFonts w:hint="eastAsia"/>
              </w:rPr>
              <w:t>6.3</w:t>
            </w:r>
            <w:r>
              <w:t>核电厂再启动</w:t>
            </w:r>
            <w:r>
              <w:tab/>
            </w:r>
            <w:r>
              <w:fldChar w:fldCharType="begin"/>
            </w:r>
            <w:r>
              <w:instrText xml:space="preserve"> PAGEREF _Toc13736 \h </w:instrText>
            </w:r>
            <w:r>
              <w:fldChar w:fldCharType="separate"/>
            </w:r>
            <w:r>
              <w:t>10</w:t>
            </w:r>
            <w:r>
              <w:fldChar w:fldCharType="end"/>
            </w:r>
          </w:hyperlink>
        </w:p>
        <w:p w14:paraId="32D53600" w14:textId="77777777" w:rsidR="008F6B68" w:rsidRDefault="008F6B68">
          <w:pPr>
            <w:pStyle w:val="TOC2"/>
            <w:tabs>
              <w:tab w:val="clear" w:pos="9241"/>
              <w:tab w:val="right" w:leader="dot" w:pos="9355"/>
            </w:tabs>
          </w:pPr>
          <w:hyperlink w:anchor="_Toc25844" w:history="1">
            <w:r>
              <w:rPr>
                <w:rFonts w:ascii="黑体" w:eastAsia="黑体" w:hint="eastAsia"/>
              </w:rPr>
              <w:t xml:space="preserve">7 </w:t>
            </w:r>
            <w:r>
              <w:rPr>
                <w:rFonts w:hint="eastAsia"/>
              </w:rPr>
              <w:t>大修停堆安全管理</w:t>
            </w:r>
            <w:r>
              <w:tab/>
            </w:r>
            <w:r>
              <w:fldChar w:fldCharType="begin"/>
            </w:r>
            <w:r>
              <w:instrText xml:space="preserve"> PAGEREF _Toc25844 \h </w:instrText>
            </w:r>
            <w:r>
              <w:fldChar w:fldCharType="separate"/>
            </w:r>
            <w:r>
              <w:t>10</w:t>
            </w:r>
            <w:r>
              <w:fldChar w:fldCharType="end"/>
            </w:r>
          </w:hyperlink>
        </w:p>
        <w:p w14:paraId="3885634F" w14:textId="77777777" w:rsidR="008F6B68" w:rsidRDefault="008F6B68">
          <w:pPr>
            <w:pStyle w:val="TOC3"/>
            <w:tabs>
              <w:tab w:val="clear" w:pos="9241"/>
              <w:tab w:val="right" w:leader="dot" w:pos="9355"/>
            </w:tabs>
            <w:ind w:firstLine="210"/>
          </w:pPr>
          <w:hyperlink w:anchor="_Toc11609" w:history="1">
            <w:r>
              <w:rPr>
                <w:rFonts w:hint="eastAsia"/>
              </w:rPr>
              <w:t>7.1停堆安全管理原则</w:t>
            </w:r>
            <w:r>
              <w:tab/>
            </w:r>
            <w:r>
              <w:fldChar w:fldCharType="begin"/>
            </w:r>
            <w:r>
              <w:instrText xml:space="preserve"> PAGEREF _Toc11609 \h </w:instrText>
            </w:r>
            <w:r>
              <w:fldChar w:fldCharType="separate"/>
            </w:r>
            <w:r>
              <w:t>10</w:t>
            </w:r>
            <w:r>
              <w:fldChar w:fldCharType="end"/>
            </w:r>
          </w:hyperlink>
        </w:p>
        <w:p w14:paraId="703FA836" w14:textId="77777777" w:rsidR="008F6B68" w:rsidRDefault="008F6B68">
          <w:pPr>
            <w:pStyle w:val="TOC3"/>
            <w:tabs>
              <w:tab w:val="clear" w:pos="9241"/>
              <w:tab w:val="right" w:leader="dot" w:pos="9355"/>
            </w:tabs>
            <w:ind w:firstLine="210"/>
          </w:pPr>
          <w:hyperlink w:anchor="_Toc16319" w:history="1">
            <w:r>
              <w:rPr>
                <w:rFonts w:hint="eastAsia"/>
              </w:rPr>
              <w:t>7.2堆芯余热排出</w:t>
            </w:r>
            <w:r>
              <w:tab/>
            </w:r>
            <w:r>
              <w:fldChar w:fldCharType="begin"/>
            </w:r>
            <w:r>
              <w:instrText xml:space="preserve"> PAGEREF _Toc16319 \h </w:instrText>
            </w:r>
            <w:r>
              <w:fldChar w:fldCharType="separate"/>
            </w:r>
            <w:r>
              <w:t>11</w:t>
            </w:r>
            <w:r>
              <w:fldChar w:fldCharType="end"/>
            </w:r>
          </w:hyperlink>
        </w:p>
        <w:p w14:paraId="552509A4" w14:textId="77777777" w:rsidR="008F6B68" w:rsidRDefault="008F6B68">
          <w:pPr>
            <w:pStyle w:val="TOC3"/>
            <w:tabs>
              <w:tab w:val="clear" w:pos="9241"/>
              <w:tab w:val="right" w:leader="dot" w:pos="9355"/>
            </w:tabs>
            <w:ind w:firstLine="210"/>
          </w:pPr>
          <w:hyperlink w:anchor="_Toc14973" w:history="1">
            <w:r>
              <w:rPr>
                <w:rFonts w:hint="eastAsia"/>
              </w:rPr>
              <w:t>7.3水装量控制</w:t>
            </w:r>
            <w:r>
              <w:tab/>
            </w:r>
            <w:r>
              <w:fldChar w:fldCharType="begin"/>
            </w:r>
            <w:r>
              <w:instrText xml:space="preserve"> PAGEREF _Toc14973 \h </w:instrText>
            </w:r>
            <w:r>
              <w:fldChar w:fldCharType="separate"/>
            </w:r>
            <w:r>
              <w:t>11</w:t>
            </w:r>
            <w:r>
              <w:fldChar w:fldCharType="end"/>
            </w:r>
          </w:hyperlink>
        </w:p>
        <w:p w14:paraId="08EFB352" w14:textId="77777777" w:rsidR="008F6B68" w:rsidRDefault="008F6B68">
          <w:pPr>
            <w:pStyle w:val="TOC3"/>
            <w:tabs>
              <w:tab w:val="clear" w:pos="9241"/>
              <w:tab w:val="right" w:leader="dot" w:pos="9355"/>
            </w:tabs>
            <w:ind w:firstLine="210"/>
          </w:pPr>
          <w:hyperlink w:anchor="_Toc5731" w:history="1">
            <w:r>
              <w:rPr>
                <w:rFonts w:hint="eastAsia"/>
              </w:rPr>
              <w:t>7.4电源可用性</w:t>
            </w:r>
            <w:r>
              <w:tab/>
            </w:r>
            <w:r>
              <w:fldChar w:fldCharType="begin"/>
            </w:r>
            <w:r>
              <w:instrText xml:space="preserve"> PAGEREF _Toc5731 \h </w:instrText>
            </w:r>
            <w:r>
              <w:fldChar w:fldCharType="separate"/>
            </w:r>
            <w:r>
              <w:t>12</w:t>
            </w:r>
            <w:r>
              <w:fldChar w:fldCharType="end"/>
            </w:r>
          </w:hyperlink>
        </w:p>
        <w:p w14:paraId="6EBF02FD" w14:textId="77777777" w:rsidR="008F6B68" w:rsidRDefault="008F6B68">
          <w:pPr>
            <w:pStyle w:val="TOC3"/>
            <w:tabs>
              <w:tab w:val="clear" w:pos="9241"/>
              <w:tab w:val="right" w:leader="dot" w:pos="9355"/>
            </w:tabs>
            <w:ind w:firstLine="210"/>
          </w:pPr>
          <w:hyperlink w:anchor="_Toc14462" w:history="1">
            <w:r>
              <w:rPr>
                <w:rFonts w:hint="eastAsia"/>
              </w:rPr>
              <w:t>7.5反应性控制</w:t>
            </w:r>
            <w:r>
              <w:tab/>
            </w:r>
            <w:r>
              <w:fldChar w:fldCharType="begin"/>
            </w:r>
            <w:r>
              <w:instrText xml:space="preserve"> PAGEREF _Toc14462 \h </w:instrText>
            </w:r>
            <w:r>
              <w:fldChar w:fldCharType="separate"/>
            </w:r>
            <w:r>
              <w:t>13</w:t>
            </w:r>
            <w:r>
              <w:fldChar w:fldCharType="end"/>
            </w:r>
          </w:hyperlink>
        </w:p>
        <w:p w14:paraId="30E29893" w14:textId="77777777" w:rsidR="008F6B68" w:rsidRDefault="008F6B68">
          <w:pPr>
            <w:pStyle w:val="TOC3"/>
            <w:tabs>
              <w:tab w:val="clear" w:pos="9241"/>
              <w:tab w:val="right" w:leader="dot" w:pos="9355"/>
            </w:tabs>
            <w:ind w:firstLine="210"/>
          </w:pPr>
          <w:hyperlink w:anchor="_Toc8758" w:history="1">
            <w:r>
              <w:rPr>
                <w:rFonts w:hint="eastAsia"/>
              </w:rPr>
              <w:t>7.6安全壳密封性</w:t>
            </w:r>
            <w:r>
              <w:tab/>
            </w:r>
            <w:r>
              <w:fldChar w:fldCharType="begin"/>
            </w:r>
            <w:r>
              <w:instrText xml:space="preserve"> PAGEREF _Toc8758 \h </w:instrText>
            </w:r>
            <w:r>
              <w:fldChar w:fldCharType="separate"/>
            </w:r>
            <w:r>
              <w:t>13</w:t>
            </w:r>
            <w:r>
              <w:fldChar w:fldCharType="end"/>
            </w:r>
          </w:hyperlink>
        </w:p>
        <w:p w14:paraId="00041234" w14:textId="77777777" w:rsidR="008F6B68" w:rsidRDefault="008F6B68">
          <w:pPr>
            <w:pStyle w:val="TOC2"/>
            <w:tabs>
              <w:tab w:val="clear" w:pos="9241"/>
              <w:tab w:val="right" w:leader="dot" w:pos="9355"/>
            </w:tabs>
          </w:pPr>
          <w:hyperlink w:anchor="_Toc24742" w:history="1">
            <w:r>
              <w:rPr>
                <w:rFonts w:ascii="黑体" w:eastAsia="黑体" w:hint="eastAsia"/>
              </w:rPr>
              <w:t xml:space="preserve">8 </w:t>
            </w:r>
            <w:r>
              <w:rPr>
                <w:rFonts w:hint="eastAsia"/>
              </w:rPr>
              <w:t>紧急停堆安全管理</w:t>
            </w:r>
            <w:r>
              <w:tab/>
            </w:r>
            <w:r>
              <w:fldChar w:fldCharType="begin"/>
            </w:r>
            <w:r>
              <w:instrText xml:space="preserve"> PAGEREF _Toc24742 \h </w:instrText>
            </w:r>
            <w:r>
              <w:fldChar w:fldCharType="separate"/>
            </w:r>
            <w:r>
              <w:t>14</w:t>
            </w:r>
            <w:r>
              <w:fldChar w:fldCharType="end"/>
            </w:r>
          </w:hyperlink>
        </w:p>
        <w:p w14:paraId="373AFD5A" w14:textId="77777777" w:rsidR="008F6B68" w:rsidRDefault="008F6B68">
          <w:pPr>
            <w:pStyle w:val="TOC3"/>
            <w:tabs>
              <w:tab w:val="clear" w:pos="9241"/>
              <w:tab w:val="right" w:leader="dot" w:pos="9355"/>
            </w:tabs>
            <w:ind w:firstLine="210"/>
          </w:pPr>
          <w:hyperlink w:anchor="_Toc12151" w:history="1">
            <w:r>
              <w:rPr>
                <w:rFonts w:hint="eastAsia"/>
              </w:rPr>
              <w:t>8.1非计划停堆预防</w:t>
            </w:r>
            <w:r>
              <w:tab/>
            </w:r>
            <w:r>
              <w:fldChar w:fldCharType="begin"/>
            </w:r>
            <w:r>
              <w:instrText xml:space="preserve"> PAGEREF _Toc12151 \h </w:instrText>
            </w:r>
            <w:r>
              <w:fldChar w:fldCharType="separate"/>
            </w:r>
            <w:r>
              <w:t>14</w:t>
            </w:r>
            <w:r>
              <w:fldChar w:fldCharType="end"/>
            </w:r>
          </w:hyperlink>
        </w:p>
        <w:p w14:paraId="6D1642D5" w14:textId="77777777" w:rsidR="008F6B68" w:rsidRDefault="008F6B68">
          <w:pPr>
            <w:pStyle w:val="TOC3"/>
            <w:tabs>
              <w:tab w:val="clear" w:pos="9241"/>
              <w:tab w:val="right" w:leader="dot" w:pos="9355"/>
            </w:tabs>
            <w:ind w:firstLine="210"/>
          </w:pPr>
          <w:hyperlink w:anchor="_Toc28116" w:history="1">
            <w:r>
              <w:rPr>
                <w:rFonts w:hint="eastAsia"/>
              </w:rPr>
              <w:t>8.2事故程序</w:t>
            </w:r>
            <w:r>
              <w:tab/>
            </w:r>
            <w:r>
              <w:fldChar w:fldCharType="begin"/>
            </w:r>
            <w:r>
              <w:instrText xml:space="preserve"> PAGEREF _Toc28116 \h </w:instrText>
            </w:r>
            <w:r>
              <w:fldChar w:fldCharType="separate"/>
            </w:r>
            <w:r>
              <w:t>14</w:t>
            </w:r>
            <w:r>
              <w:fldChar w:fldCharType="end"/>
            </w:r>
          </w:hyperlink>
        </w:p>
        <w:p w14:paraId="0A0EC49E" w14:textId="77777777" w:rsidR="008F6B68" w:rsidRDefault="008F6B68">
          <w:pPr>
            <w:pStyle w:val="TOC3"/>
            <w:tabs>
              <w:tab w:val="clear" w:pos="9241"/>
              <w:tab w:val="right" w:leader="dot" w:pos="9355"/>
            </w:tabs>
            <w:ind w:firstLine="210"/>
          </w:pPr>
          <w:hyperlink w:anchor="_Toc5825" w:history="1">
            <w:r>
              <w:rPr>
                <w:rFonts w:hint="eastAsia"/>
              </w:rPr>
              <w:t>8.3六大状态功能参数</w:t>
            </w:r>
            <w:r>
              <w:tab/>
            </w:r>
            <w:r>
              <w:fldChar w:fldCharType="begin"/>
            </w:r>
            <w:r>
              <w:instrText xml:space="preserve"> PAGEREF _Toc5825 \h </w:instrText>
            </w:r>
            <w:r>
              <w:fldChar w:fldCharType="separate"/>
            </w:r>
            <w:r>
              <w:t>14</w:t>
            </w:r>
            <w:r>
              <w:fldChar w:fldCharType="end"/>
            </w:r>
          </w:hyperlink>
        </w:p>
        <w:p w14:paraId="73998FC7" w14:textId="77777777" w:rsidR="008F6B68" w:rsidRDefault="008F6B68">
          <w:pPr>
            <w:pStyle w:val="TOC3"/>
            <w:tabs>
              <w:tab w:val="clear" w:pos="9241"/>
              <w:tab w:val="right" w:leader="dot" w:pos="9355"/>
            </w:tabs>
            <w:ind w:firstLine="210"/>
          </w:pPr>
          <w:hyperlink w:anchor="_Toc669" w:history="1">
            <w:r>
              <w:rPr>
                <w:rFonts w:hint="eastAsia"/>
              </w:rPr>
              <w:t>8.4八大运行控制策略</w:t>
            </w:r>
            <w:r>
              <w:tab/>
            </w:r>
            <w:r>
              <w:fldChar w:fldCharType="begin"/>
            </w:r>
            <w:r>
              <w:instrText xml:space="preserve"> PAGEREF _Toc669 \h </w:instrText>
            </w:r>
            <w:r>
              <w:fldChar w:fldCharType="separate"/>
            </w:r>
            <w:r>
              <w:t>15</w:t>
            </w:r>
            <w:r>
              <w:fldChar w:fldCharType="end"/>
            </w:r>
          </w:hyperlink>
        </w:p>
        <w:p w14:paraId="652DAFD7" w14:textId="77777777" w:rsidR="008F6B68" w:rsidRDefault="008F6B68">
          <w:pPr>
            <w:pStyle w:val="TOC3"/>
            <w:tabs>
              <w:tab w:val="clear" w:pos="9241"/>
              <w:tab w:val="right" w:leader="dot" w:pos="9355"/>
            </w:tabs>
            <w:ind w:firstLine="210"/>
          </w:pPr>
          <w:hyperlink w:anchor="_Toc4885" w:history="1">
            <w:r>
              <w:rPr>
                <w:rFonts w:hint="eastAsia"/>
              </w:rPr>
              <w:t>8.5事故处理岗位职责</w:t>
            </w:r>
            <w:r>
              <w:tab/>
            </w:r>
            <w:r>
              <w:fldChar w:fldCharType="begin"/>
            </w:r>
            <w:r>
              <w:instrText xml:space="preserve"> PAGEREF _Toc4885 \h </w:instrText>
            </w:r>
            <w:r>
              <w:fldChar w:fldCharType="separate"/>
            </w:r>
            <w:r>
              <w:t>15</w:t>
            </w:r>
            <w:r>
              <w:fldChar w:fldCharType="end"/>
            </w:r>
          </w:hyperlink>
        </w:p>
        <w:p w14:paraId="24BFB056" w14:textId="77777777" w:rsidR="008F6B68" w:rsidRDefault="008F6B68">
          <w:pPr>
            <w:pStyle w:val="TOC3"/>
            <w:tabs>
              <w:tab w:val="clear" w:pos="9241"/>
              <w:tab w:val="right" w:leader="dot" w:pos="9355"/>
            </w:tabs>
            <w:ind w:firstLine="210"/>
          </w:pPr>
          <w:hyperlink w:anchor="_Toc3512" w:history="1">
            <w:r>
              <w:rPr>
                <w:rFonts w:hint="eastAsia"/>
              </w:rPr>
              <w:t>8.6严重事故接口</w:t>
            </w:r>
            <w:r>
              <w:tab/>
            </w:r>
            <w:r>
              <w:fldChar w:fldCharType="begin"/>
            </w:r>
            <w:r>
              <w:instrText xml:space="preserve"> PAGEREF _Toc3512 \h </w:instrText>
            </w:r>
            <w:r>
              <w:fldChar w:fldCharType="separate"/>
            </w:r>
            <w:r>
              <w:t>16</w:t>
            </w:r>
            <w:r>
              <w:fldChar w:fldCharType="end"/>
            </w:r>
          </w:hyperlink>
        </w:p>
        <w:p w14:paraId="68DC95ED" w14:textId="77777777" w:rsidR="008F6B68" w:rsidRDefault="008F6B68">
          <w:pPr>
            <w:pStyle w:val="TOC2"/>
            <w:tabs>
              <w:tab w:val="clear" w:pos="9241"/>
              <w:tab w:val="right" w:leader="dot" w:pos="9355"/>
            </w:tabs>
          </w:pPr>
          <w:hyperlink w:anchor="_Toc24861" w:history="1">
            <w:r>
              <w:rPr>
                <w:rFonts w:ascii="黑体" w:eastAsia="黑体" w:hint="eastAsia"/>
              </w:rPr>
              <w:t xml:space="preserve">9 </w:t>
            </w:r>
            <w:r>
              <w:rPr>
                <w:rFonts w:hint="eastAsia"/>
              </w:rPr>
              <w:t>停堆工况下一回路源项及辐射分区</w:t>
            </w:r>
            <w:r>
              <w:tab/>
            </w:r>
            <w:r>
              <w:fldChar w:fldCharType="begin"/>
            </w:r>
            <w:r>
              <w:instrText xml:space="preserve"> PAGEREF _Toc24861 \h </w:instrText>
            </w:r>
            <w:r>
              <w:fldChar w:fldCharType="separate"/>
            </w:r>
            <w:r>
              <w:t>16</w:t>
            </w:r>
            <w:r>
              <w:fldChar w:fldCharType="end"/>
            </w:r>
          </w:hyperlink>
        </w:p>
        <w:p w14:paraId="71709842" w14:textId="77777777" w:rsidR="008F6B68" w:rsidRDefault="008F6B68">
          <w:pPr>
            <w:pStyle w:val="TOC3"/>
            <w:tabs>
              <w:tab w:val="clear" w:pos="9241"/>
              <w:tab w:val="right" w:leader="dot" w:pos="9355"/>
            </w:tabs>
            <w:ind w:firstLine="210"/>
          </w:pPr>
          <w:hyperlink w:anchor="_Toc1714" w:history="1">
            <w:r>
              <w:rPr>
                <w:rFonts w:hint="eastAsia"/>
              </w:rPr>
              <w:t>9.1一回路源项</w:t>
            </w:r>
            <w:r>
              <w:tab/>
            </w:r>
            <w:r>
              <w:fldChar w:fldCharType="begin"/>
            </w:r>
            <w:r>
              <w:instrText xml:space="preserve"> PAGEREF _Toc1714 \h </w:instrText>
            </w:r>
            <w:r>
              <w:fldChar w:fldCharType="separate"/>
            </w:r>
            <w:r>
              <w:t>16</w:t>
            </w:r>
            <w:r>
              <w:fldChar w:fldCharType="end"/>
            </w:r>
          </w:hyperlink>
        </w:p>
        <w:p w14:paraId="078E2327" w14:textId="77777777" w:rsidR="008F6B68" w:rsidRDefault="008F6B68">
          <w:pPr>
            <w:pStyle w:val="TOC3"/>
            <w:tabs>
              <w:tab w:val="clear" w:pos="9241"/>
              <w:tab w:val="right" w:leader="dot" w:pos="9355"/>
            </w:tabs>
            <w:ind w:firstLine="210"/>
          </w:pPr>
          <w:hyperlink w:anchor="_Toc14742" w:history="1">
            <w:r>
              <w:rPr>
                <w:rFonts w:hint="eastAsia"/>
              </w:rPr>
              <w:t>9.2停堆工况下反应堆厂房辐射分区</w:t>
            </w:r>
            <w:r>
              <w:tab/>
            </w:r>
            <w:r>
              <w:fldChar w:fldCharType="begin"/>
            </w:r>
            <w:r>
              <w:instrText xml:space="preserve"> PAGEREF _Toc14742 \h </w:instrText>
            </w:r>
            <w:r>
              <w:fldChar w:fldCharType="separate"/>
            </w:r>
            <w:r>
              <w:t>16</w:t>
            </w:r>
            <w:r>
              <w:fldChar w:fldCharType="end"/>
            </w:r>
          </w:hyperlink>
        </w:p>
        <w:p w14:paraId="72E7365A" w14:textId="77777777" w:rsidR="008F6B68" w:rsidRDefault="008F6B68">
          <w:pPr>
            <w:pStyle w:val="TOC2"/>
            <w:tabs>
              <w:tab w:val="clear" w:pos="9241"/>
              <w:tab w:val="right" w:leader="dot" w:pos="9355"/>
            </w:tabs>
          </w:pPr>
          <w:hyperlink w:anchor="_Toc27952" w:history="1">
            <w:r>
              <w:rPr>
                <w:rFonts w:ascii="黑体" w:eastAsia="黑体" w:hint="eastAsia"/>
              </w:rPr>
              <w:t xml:space="preserve">10 </w:t>
            </w:r>
            <w:r>
              <w:rPr>
                <w:rFonts w:hint="eastAsia"/>
              </w:rPr>
              <w:t>反应堆自然循环</w:t>
            </w:r>
            <w:r>
              <w:tab/>
            </w:r>
            <w:r>
              <w:fldChar w:fldCharType="begin"/>
            </w:r>
            <w:r>
              <w:instrText xml:space="preserve"> PAGEREF _Toc27952 \h </w:instrText>
            </w:r>
            <w:r>
              <w:fldChar w:fldCharType="separate"/>
            </w:r>
            <w:r>
              <w:t>17</w:t>
            </w:r>
            <w:r>
              <w:fldChar w:fldCharType="end"/>
            </w:r>
          </w:hyperlink>
        </w:p>
        <w:p w14:paraId="2B1D1AD3" w14:textId="77777777" w:rsidR="008F6B68" w:rsidRDefault="008F6B68">
          <w:pPr>
            <w:pStyle w:val="TOC3"/>
            <w:tabs>
              <w:tab w:val="clear" w:pos="9241"/>
              <w:tab w:val="right" w:leader="dot" w:pos="9355"/>
            </w:tabs>
            <w:ind w:firstLine="210"/>
          </w:pPr>
          <w:hyperlink w:anchor="_Toc2053" w:history="1">
            <w:r>
              <w:rPr>
                <w:rFonts w:hint="eastAsia"/>
              </w:rPr>
              <w:t>10.1自然循环的意义</w:t>
            </w:r>
            <w:r>
              <w:tab/>
            </w:r>
            <w:r>
              <w:fldChar w:fldCharType="begin"/>
            </w:r>
            <w:r>
              <w:instrText xml:space="preserve"> PAGEREF _Toc2053 \h </w:instrText>
            </w:r>
            <w:r>
              <w:fldChar w:fldCharType="separate"/>
            </w:r>
            <w:r>
              <w:t>17</w:t>
            </w:r>
            <w:r>
              <w:fldChar w:fldCharType="end"/>
            </w:r>
          </w:hyperlink>
        </w:p>
        <w:p w14:paraId="169ADB82" w14:textId="77777777" w:rsidR="008F6B68" w:rsidRDefault="008F6B68">
          <w:pPr>
            <w:pStyle w:val="TOC3"/>
            <w:tabs>
              <w:tab w:val="clear" w:pos="9241"/>
              <w:tab w:val="right" w:leader="dot" w:pos="9355"/>
            </w:tabs>
            <w:ind w:firstLine="210"/>
          </w:pPr>
          <w:hyperlink w:anchor="_Toc1864" w:history="1">
            <w:r>
              <w:rPr>
                <w:rFonts w:hint="eastAsia"/>
              </w:rPr>
              <w:t>10.2自然循环的形成判断</w:t>
            </w:r>
            <w:r>
              <w:tab/>
            </w:r>
            <w:r>
              <w:fldChar w:fldCharType="begin"/>
            </w:r>
            <w:r>
              <w:instrText xml:space="preserve"> PAGEREF _Toc1864 \h </w:instrText>
            </w:r>
            <w:r>
              <w:fldChar w:fldCharType="separate"/>
            </w:r>
            <w:r>
              <w:t>17</w:t>
            </w:r>
            <w:r>
              <w:fldChar w:fldCharType="end"/>
            </w:r>
          </w:hyperlink>
        </w:p>
        <w:p w14:paraId="4DE3CF4F" w14:textId="77777777" w:rsidR="008F6B68" w:rsidRDefault="008F6B68">
          <w:pPr>
            <w:pStyle w:val="TOC3"/>
            <w:tabs>
              <w:tab w:val="clear" w:pos="9241"/>
              <w:tab w:val="right" w:leader="dot" w:pos="9355"/>
            </w:tabs>
            <w:ind w:firstLine="210"/>
          </w:pPr>
          <w:hyperlink w:anchor="_Toc2087" w:history="1">
            <w:r>
              <w:rPr>
                <w:rFonts w:hint="eastAsia"/>
              </w:rPr>
              <w:t>10.3自然循环的机组控制</w:t>
            </w:r>
            <w:r>
              <w:tab/>
            </w:r>
            <w:r>
              <w:fldChar w:fldCharType="begin"/>
            </w:r>
            <w:r>
              <w:instrText xml:space="preserve"> PAGEREF _Toc2087 \h </w:instrText>
            </w:r>
            <w:r>
              <w:fldChar w:fldCharType="separate"/>
            </w:r>
            <w:r>
              <w:t>17</w:t>
            </w:r>
            <w:r>
              <w:fldChar w:fldCharType="end"/>
            </w:r>
          </w:hyperlink>
        </w:p>
        <w:p w14:paraId="3794F5AC" w14:textId="77777777" w:rsidR="008F6B68" w:rsidRDefault="008F6B68">
          <w:pPr>
            <w:pStyle w:val="TOC2"/>
            <w:tabs>
              <w:tab w:val="clear" w:pos="9241"/>
              <w:tab w:val="right" w:leader="dot" w:pos="9355"/>
            </w:tabs>
          </w:pPr>
          <w:hyperlink w:anchor="_Toc32708" w:history="1">
            <w:r>
              <w:rPr>
                <w:rFonts w:ascii="黑体" w:eastAsia="黑体" w:hint="eastAsia"/>
              </w:rPr>
              <w:t xml:space="preserve">11 </w:t>
            </w:r>
            <w:r>
              <w:rPr>
                <w:rFonts w:hint="eastAsia"/>
              </w:rPr>
              <w:t>事故停堆后的重新临界</w:t>
            </w:r>
            <w:r>
              <w:tab/>
            </w:r>
            <w:r>
              <w:fldChar w:fldCharType="begin"/>
            </w:r>
            <w:r>
              <w:instrText xml:space="preserve"> PAGEREF _Toc32708 \h </w:instrText>
            </w:r>
            <w:r>
              <w:fldChar w:fldCharType="separate"/>
            </w:r>
            <w:r>
              <w:t>20</w:t>
            </w:r>
            <w:r>
              <w:fldChar w:fldCharType="end"/>
            </w:r>
          </w:hyperlink>
        </w:p>
        <w:p w14:paraId="68A19781" w14:textId="77777777" w:rsidR="008F6B68" w:rsidRDefault="008F6B68">
          <w:pPr>
            <w:pStyle w:val="TOC2"/>
            <w:tabs>
              <w:tab w:val="clear" w:pos="9241"/>
              <w:tab w:val="right" w:leader="dot" w:pos="9355"/>
            </w:tabs>
          </w:pPr>
          <w:hyperlink w:anchor="_Toc1972" w:history="1">
            <w:r>
              <w:rPr>
                <w:rFonts w:ascii="黑体" w:eastAsia="黑体" w:hint="eastAsia"/>
              </w:rPr>
              <w:t xml:space="preserve">12 </w:t>
            </w:r>
            <w:r>
              <w:rPr>
                <w:rFonts w:hint="eastAsia"/>
              </w:rPr>
              <w:t>紧急停堆机组控制的良好实践</w:t>
            </w:r>
            <w:r>
              <w:tab/>
            </w:r>
            <w:r>
              <w:fldChar w:fldCharType="begin"/>
            </w:r>
            <w:r>
              <w:instrText xml:space="preserve"> PAGEREF _Toc1972 \h </w:instrText>
            </w:r>
            <w:r>
              <w:fldChar w:fldCharType="separate"/>
            </w:r>
            <w:r>
              <w:t>20</w:t>
            </w:r>
            <w:r>
              <w:fldChar w:fldCharType="end"/>
            </w:r>
          </w:hyperlink>
        </w:p>
        <w:p w14:paraId="1A3E2FC5" w14:textId="77777777" w:rsidR="008F6B68" w:rsidRDefault="008F6B68">
          <w:pPr>
            <w:pStyle w:val="TOC3"/>
            <w:tabs>
              <w:tab w:val="clear" w:pos="9241"/>
              <w:tab w:val="right" w:leader="dot" w:pos="9355"/>
            </w:tabs>
            <w:ind w:firstLine="210"/>
          </w:pPr>
          <w:hyperlink w:anchor="_Toc19265" w:history="1">
            <w:r>
              <w:rPr>
                <w:rFonts w:hint="eastAsia"/>
              </w:rPr>
              <w:t>12.1建立异常响应项目组运作体系</w:t>
            </w:r>
            <w:r>
              <w:tab/>
            </w:r>
            <w:r>
              <w:fldChar w:fldCharType="begin"/>
            </w:r>
            <w:r>
              <w:instrText xml:space="preserve"> PAGEREF _Toc19265 \h </w:instrText>
            </w:r>
            <w:r>
              <w:fldChar w:fldCharType="separate"/>
            </w:r>
            <w:r>
              <w:t>20</w:t>
            </w:r>
            <w:r>
              <w:fldChar w:fldCharType="end"/>
            </w:r>
          </w:hyperlink>
        </w:p>
        <w:p w14:paraId="5EBB4E5D" w14:textId="77777777" w:rsidR="008F6B68" w:rsidRDefault="008F6B68">
          <w:pPr>
            <w:pStyle w:val="TOC3"/>
            <w:tabs>
              <w:tab w:val="clear" w:pos="9241"/>
              <w:tab w:val="right" w:leader="dot" w:pos="9355"/>
            </w:tabs>
            <w:ind w:firstLine="210"/>
          </w:pPr>
          <w:hyperlink w:anchor="_Toc14191" w:history="1">
            <w:r>
              <w:rPr>
                <w:rFonts w:hint="eastAsia"/>
              </w:rPr>
              <w:t>12.2建立紧急停堆后的电厂执行指引</w:t>
            </w:r>
            <w:r>
              <w:tab/>
            </w:r>
            <w:r>
              <w:fldChar w:fldCharType="begin"/>
            </w:r>
            <w:r>
              <w:instrText xml:space="preserve"> PAGEREF _Toc14191 \h </w:instrText>
            </w:r>
            <w:r>
              <w:fldChar w:fldCharType="separate"/>
            </w:r>
            <w:r>
              <w:t>21</w:t>
            </w:r>
            <w:r>
              <w:fldChar w:fldCharType="end"/>
            </w:r>
          </w:hyperlink>
        </w:p>
        <w:p w14:paraId="52BA2FA8" w14:textId="77777777" w:rsidR="008F6B68" w:rsidRDefault="008F6B68">
          <w:pPr>
            <w:pStyle w:val="TOC3"/>
            <w:tabs>
              <w:tab w:val="clear" w:pos="9241"/>
              <w:tab w:val="right" w:leader="dot" w:pos="9355"/>
            </w:tabs>
            <w:ind w:firstLine="210"/>
          </w:pPr>
          <w:hyperlink w:anchor="_Toc13199" w:history="1">
            <w:r>
              <w:rPr>
                <w:rFonts w:hint="eastAsia"/>
              </w:rPr>
              <w:t>12.3碘坑达临界</w:t>
            </w:r>
            <w:r>
              <w:tab/>
            </w:r>
            <w:r>
              <w:fldChar w:fldCharType="begin"/>
            </w:r>
            <w:r>
              <w:instrText xml:space="preserve"> PAGEREF _Toc13199 \h </w:instrText>
            </w:r>
            <w:r>
              <w:fldChar w:fldCharType="separate"/>
            </w:r>
            <w:r>
              <w:t>21</w:t>
            </w:r>
            <w:r>
              <w:fldChar w:fldCharType="end"/>
            </w:r>
          </w:hyperlink>
        </w:p>
        <w:p w14:paraId="4BC3331F" w14:textId="77777777" w:rsidR="008F6B68" w:rsidRDefault="008F6B68">
          <w:pPr>
            <w:pStyle w:val="TOC3"/>
            <w:tabs>
              <w:tab w:val="clear" w:pos="9241"/>
              <w:tab w:val="right" w:leader="dot" w:pos="9355"/>
            </w:tabs>
            <w:ind w:firstLine="210"/>
          </w:pPr>
          <w:hyperlink w:anchor="_Toc3493" w:history="1">
            <w:r>
              <w:rPr>
                <w:rFonts w:hint="eastAsia"/>
              </w:rPr>
              <w:t>12.4事故程序执行期间常规岛控制</w:t>
            </w:r>
            <w:r>
              <w:tab/>
            </w:r>
            <w:r>
              <w:fldChar w:fldCharType="begin"/>
            </w:r>
            <w:r>
              <w:instrText xml:space="preserve"> PAGEREF _Toc3493 \h </w:instrText>
            </w:r>
            <w:r>
              <w:fldChar w:fldCharType="separate"/>
            </w:r>
            <w:r>
              <w:t>21</w:t>
            </w:r>
            <w:r>
              <w:fldChar w:fldCharType="end"/>
            </w:r>
          </w:hyperlink>
        </w:p>
        <w:p w14:paraId="1A8D061A" w14:textId="77777777" w:rsidR="008F6B68" w:rsidRDefault="008F6B68">
          <w:pPr>
            <w:pStyle w:val="TOC1"/>
            <w:tabs>
              <w:tab w:val="clear" w:pos="9241"/>
              <w:tab w:val="right" w:leader="dot" w:pos="9355"/>
            </w:tabs>
            <w:spacing w:before="78" w:after="78"/>
          </w:pPr>
          <w:hyperlink w:anchor="_Toc8887" w:history="1">
            <w:r>
              <w:rPr>
                <w:rFonts w:hint="eastAsia"/>
              </w:rPr>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r>
              <w:tab/>
            </w:r>
            <w:r>
              <w:fldChar w:fldCharType="begin"/>
            </w:r>
            <w:r>
              <w:instrText xml:space="preserve"> PAGEREF _Toc8887 \h </w:instrText>
            </w:r>
            <w:r>
              <w:fldChar w:fldCharType="separate"/>
            </w:r>
            <w:r>
              <w:t>24</w:t>
            </w:r>
            <w:r>
              <w:fldChar w:fldCharType="end"/>
            </w:r>
          </w:hyperlink>
        </w:p>
        <w:p w14:paraId="2F2FE51E" w14:textId="77777777" w:rsidR="008F6B68" w:rsidRDefault="00000000">
          <w:r>
            <w:rPr>
              <w:bCs/>
              <w:lang w:val="zh-CN"/>
            </w:rPr>
            <w:fldChar w:fldCharType="end"/>
          </w:r>
        </w:p>
      </w:sdtContent>
    </w:sdt>
    <w:p w14:paraId="5B758949" w14:textId="77777777" w:rsidR="008F6B68" w:rsidRDefault="00000000">
      <w:pPr>
        <w:pStyle w:val="afffff"/>
      </w:pPr>
      <w:bookmarkStart w:id="14" w:name="_Toc7243"/>
      <w:bookmarkStart w:id="15" w:name="_Toc22240"/>
      <w:bookmarkStart w:id="16" w:name="_Toc26890"/>
      <w:bookmarkStart w:id="17" w:name="_Toc17405"/>
      <w:r>
        <w:rPr>
          <w:rFonts w:hint="eastAsia"/>
        </w:rPr>
        <w:lastRenderedPageBreak/>
        <w:t>前</w:t>
      </w:r>
      <w:bookmarkStart w:id="18" w:name="BKQY"/>
      <w:r>
        <w:t>  </w:t>
      </w:r>
      <w:r>
        <w:rPr>
          <w:rFonts w:hint="eastAsia"/>
        </w:rPr>
        <w:t>言</w:t>
      </w:r>
      <w:bookmarkEnd w:id="13"/>
      <w:bookmarkEnd w:id="12"/>
      <w:bookmarkEnd w:id="14"/>
      <w:bookmarkEnd w:id="15"/>
      <w:bookmarkEnd w:id="16"/>
      <w:bookmarkEnd w:id="17"/>
      <w:bookmarkEnd w:id="18"/>
    </w:p>
    <w:p w14:paraId="4720AA1C" w14:textId="77777777" w:rsidR="008F6B68" w:rsidRDefault="00000000">
      <w:pPr>
        <w:pStyle w:val="afffff0"/>
        <w:spacing w:before="0" w:beforeAutospacing="0" w:after="0" w:afterAutospacing="0"/>
        <w:ind w:firstLine="420"/>
        <w:jc w:val="both"/>
        <w:rPr>
          <w:rFonts w:hint="eastAsia"/>
          <w:color w:val="000000"/>
          <w:sz w:val="21"/>
          <w:szCs w:val="21"/>
        </w:rPr>
      </w:pPr>
      <w:r>
        <w:rPr>
          <w:rFonts w:hint="eastAsia"/>
          <w:color w:val="000000"/>
          <w:sz w:val="21"/>
          <w:szCs w:val="21"/>
        </w:rPr>
        <w:t>本文件按照GB/T 1.1-2020《标准化工作导则 第1部分：标准化文件的结构和起草规则》的规定起草。</w:t>
      </w:r>
    </w:p>
    <w:p w14:paraId="4B2ABFED" w14:textId="77777777" w:rsidR="008F6B68" w:rsidRDefault="00000000">
      <w:pPr>
        <w:ind w:firstLine="420"/>
        <w:rPr>
          <w:rFonts w:ascii="宋体" w:hAnsi="宋体" w:cs="宋体" w:hint="eastAsia"/>
          <w:color w:val="000000"/>
          <w:kern w:val="0"/>
          <w:szCs w:val="21"/>
        </w:rPr>
      </w:pPr>
      <w:bookmarkStart w:id="19" w:name="_Hlk108788980"/>
      <w:r>
        <w:rPr>
          <w:rFonts w:ascii="等线" w:eastAsia="等线" w:hAnsi="等线" w:hint="eastAsia"/>
          <w:szCs w:val="22"/>
        </w:rPr>
        <w:t>请</w:t>
      </w:r>
      <w:r>
        <w:rPr>
          <w:rFonts w:ascii="宋体" w:hAnsi="宋体" w:cs="宋体" w:hint="eastAsia"/>
          <w:color w:val="000000"/>
          <w:kern w:val="0"/>
          <w:szCs w:val="21"/>
        </w:rPr>
        <w:t>注意本文件的某些内容可能涉及专利。本文件的发布机构不承担识别专利的责任。</w:t>
      </w:r>
    </w:p>
    <w:p w14:paraId="4211B313" w14:textId="77777777" w:rsidR="008F6B68" w:rsidRDefault="00000000">
      <w:pPr>
        <w:ind w:firstLine="420"/>
        <w:rPr>
          <w:rFonts w:ascii="宋体" w:hAnsi="宋体" w:cs="宋体" w:hint="eastAsia"/>
          <w:color w:val="000000"/>
          <w:kern w:val="0"/>
          <w:szCs w:val="21"/>
        </w:rPr>
      </w:pPr>
      <w:r>
        <w:rPr>
          <w:rFonts w:ascii="宋体" w:hAnsi="宋体" w:cs="宋体" w:hint="eastAsia"/>
          <w:color w:val="000000"/>
          <w:kern w:val="0"/>
          <w:szCs w:val="21"/>
        </w:rPr>
        <w:t>本文件由中国核能行业协会提出并归口管理，技术支持单位为上海核工程研究设计院股份有限公司、核工业标准化研究所、苏州热工研究院有限公司、华能核能技术研究院有限公司。</w:t>
      </w:r>
    </w:p>
    <w:bookmarkEnd w:id="19"/>
    <w:p w14:paraId="3C0FC0C9" w14:textId="77777777" w:rsidR="008F6B68" w:rsidRDefault="00000000">
      <w:pPr>
        <w:ind w:firstLine="420"/>
        <w:rPr>
          <w:rFonts w:ascii="宋体" w:hAnsi="宋体" w:cs="宋体" w:hint="eastAsia"/>
          <w:color w:val="000000"/>
          <w:kern w:val="0"/>
          <w:szCs w:val="21"/>
        </w:rPr>
      </w:pPr>
      <w:r>
        <w:rPr>
          <w:rFonts w:ascii="宋体" w:hAnsi="宋体" w:cs="宋体" w:hint="eastAsia"/>
          <w:color w:val="000000"/>
          <w:kern w:val="0"/>
          <w:szCs w:val="21"/>
        </w:rPr>
        <w:t>本文件起草单位：阳江核电有限公司、惠州核电有限公司、台山核电合营有限公司、三门核电有限公司、山东核电有限公司、核电秦山联营有限公司、华能海南昌江核电有限公司。</w:t>
      </w:r>
    </w:p>
    <w:p w14:paraId="4363B38A" w14:textId="77777777" w:rsidR="008F6B68" w:rsidRDefault="00000000">
      <w:pPr>
        <w:ind w:firstLine="420"/>
        <w:rPr>
          <w:rFonts w:ascii="宋体" w:hAnsi="宋体" w:cs="宋体" w:hint="eastAsia"/>
          <w:color w:val="000000"/>
          <w:kern w:val="0"/>
          <w:szCs w:val="21"/>
        </w:rPr>
      </w:pPr>
      <w:r>
        <w:rPr>
          <w:rFonts w:ascii="宋体" w:hAnsi="宋体" w:cs="宋体" w:hint="eastAsia"/>
          <w:color w:val="000000"/>
          <w:kern w:val="0"/>
          <w:szCs w:val="21"/>
        </w:rPr>
        <w:t>本文件主要起草人：王启伟、杨剑兵、陈江维、郑启红、张辉武、张建、刘知博、丁言锋、张俊球、邢朝红、魏克庆、许进波。</w:t>
      </w:r>
    </w:p>
    <w:p w14:paraId="62EB8AC6" w14:textId="77777777" w:rsidR="008F6B68" w:rsidRDefault="00000000">
      <w:pPr>
        <w:ind w:firstLine="420"/>
        <w:rPr>
          <w:rFonts w:ascii="宋体" w:hAnsi="宋体" w:cs="宋体" w:hint="eastAsia"/>
          <w:color w:val="000000"/>
          <w:kern w:val="0"/>
          <w:szCs w:val="21"/>
        </w:rPr>
      </w:pPr>
      <w:r>
        <w:rPr>
          <w:rFonts w:ascii="宋体" w:hAnsi="宋体" w:cs="宋体" w:hint="eastAsia"/>
          <w:color w:val="000000"/>
          <w:kern w:val="0"/>
          <w:szCs w:val="21"/>
        </w:rPr>
        <w:t>本文件首次发布。</w:t>
      </w:r>
    </w:p>
    <w:p w14:paraId="0137BF60" w14:textId="77777777" w:rsidR="008F6B68" w:rsidRDefault="008F6B68">
      <w:pPr>
        <w:pStyle w:val="afffff0"/>
        <w:spacing w:before="0" w:beforeAutospacing="0" w:after="0" w:afterAutospacing="0"/>
        <w:ind w:firstLine="420"/>
        <w:jc w:val="both"/>
        <w:rPr>
          <w:rFonts w:hint="eastAsia"/>
          <w:sz w:val="21"/>
          <w:szCs w:val="21"/>
        </w:rPr>
      </w:pPr>
    </w:p>
    <w:p w14:paraId="52B57980" w14:textId="77777777" w:rsidR="008F6B68" w:rsidRDefault="008F6B68">
      <w:pPr>
        <w:pStyle w:val="afffff0"/>
        <w:ind w:firstLine="420"/>
        <w:rPr>
          <w:rFonts w:hint="eastAsia"/>
          <w:sz w:val="21"/>
          <w:szCs w:val="21"/>
        </w:rPr>
      </w:pPr>
    </w:p>
    <w:p w14:paraId="1703031D" w14:textId="77777777" w:rsidR="008F6B68" w:rsidRDefault="008F6B68">
      <w:pPr>
        <w:pStyle w:val="a7"/>
        <w:numPr>
          <w:ilvl w:val="0"/>
          <w:numId w:val="0"/>
        </w:numPr>
        <w:ind w:left="833"/>
      </w:pPr>
    </w:p>
    <w:p w14:paraId="699B25C8" w14:textId="77777777" w:rsidR="008F6B68" w:rsidRDefault="008F6B68">
      <w:pPr>
        <w:pStyle w:val="a7"/>
        <w:numPr>
          <w:ilvl w:val="0"/>
          <w:numId w:val="0"/>
        </w:numPr>
        <w:ind w:left="833"/>
      </w:pPr>
    </w:p>
    <w:p w14:paraId="000556FB" w14:textId="77777777" w:rsidR="008F6B68" w:rsidRDefault="008F6B68">
      <w:pPr>
        <w:pStyle w:val="a7"/>
        <w:numPr>
          <w:ilvl w:val="0"/>
          <w:numId w:val="0"/>
        </w:numPr>
        <w:ind w:left="833"/>
      </w:pPr>
    </w:p>
    <w:p w14:paraId="67E68F2F" w14:textId="77777777" w:rsidR="008F6B68" w:rsidRDefault="008F6B68">
      <w:pPr>
        <w:pStyle w:val="a7"/>
        <w:numPr>
          <w:ilvl w:val="0"/>
          <w:numId w:val="0"/>
        </w:numPr>
        <w:ind w:left="833"/>
        <w:sectPr w:rsidR="008F6B68">
          <w:headerReference w:type="default" r:id="rId12"/>
          <w:footerReference w:type="default" r:id="rId13"/>
          <w:pgSz w:w="11906" w:h="16838"/>
          <w:pgMar w:top="567" w:right="1134" w:bottom="1134" w:left="1417" w:header="1418" w:footer="1134" w:gutter="0"/>
          <w:pgNumType w:fmt="upperRoman" w:start="1"/>
          <w:cols w:space="425"/>
          <w:docGrid w:type="lines" w:linePitch="312"/>
        </w:sectPr>
      </w:pPr>
    </w:p>
    <w:p w14:paraId="130FDA2A" w14:textId="77777777" w:rsidR="008F6B68" w:rsidRDefault="00000000">
      <w:pPr>
        <w:pStyle w:val="afffe"/>
      </w:pPr>
      <w:bookmarkStart w:id="20" w:name="_Toc14667"/>
      <w:bookmarkStart w:id="21" w:name="_Toc29587"/>
      <w:bookmarkStart w:id="22" w:name="_Toc14355"/>
      <w:bookmarkStart w:id="23" w:name="_Toc27439"/>
      <w:r>
        <w:rPr>
          <w:rFonts w:hint="eastAsia"/>
        </w:rPr>
        <w:lastRenderedPageBreak/>
        <w:t>压水堆核电厂停堆系统动作后操作技术</w:t>
      </w:r>
      <w:bookmarkEnd w:id="20"/>
      <w:r>
        <w:rPr>
          <w:rFonts w:hint="eastAsia"/>
        </w:rPr>
        <w:t>管理要求</w:t>
      </w:r>
      <w:bookmarkEnd w:id="21"/>
      <w:bookmarkEnd w:id="22"/>
      <w:bookmarkEnd w:id="23"/>
    </w:p>
    <w:p w14:paraId="623147A9" w14:textId="77777777" w:rsidR="008F6B68" w:rsidRDefault="00000000">
      <w:pPr>
        <w:pStyle w:val="a4"/>
      </w:pPr>
      <w:bookmarkStart w:id="24" w:name="_Toc28422"/>
      <w:bookmarkStart w:id="25" w:name="_Toc46228654"/>
      <w:bookmarkStart w:id="26" w:name="_Toc24264"/>
      <w:bookmarkStart w:id="27" w:name="_Toc142042959"/>
      <w:bookmarkStart w:id="28" w:name="_Toc30439"/>
      <w:bookmarkStart w:id="29" w:name="_Toc29980"/>
      <w:bookmarkStart w:id="30" w:name="_Toc475687365"/>
      <w:r>
        <w:rPr>
          <w:rFonts w:hint="eastAsia"/>
        </w:rPr>
        <w:t>范围</w:t>
      </w:r>
      <w:bookmarkEnd w:id="24"/>
      <w:bookmarkEnd w:id="25"/>
      <w:bookmarkEnd w:id="26"/>
      <w:bookmarkEnd w:id="27"/>
      <w:bookmarkEnd w:id="28"/>
      <w:bookmarkEnd w:id="29"/>
      <w:bookmarkEnd w:id="30"/>
    </w:p>
    <w:p w14:paraId="17970666" w14:textId="77777777" w:rsidR="008F6B68" w:rsidRDefault="00000000">
      <w:pPr>
        <w:pStyle w:val="affa"/>
        <w:widowControl/>
        <w:spacing w:beforeAutospacing="0" w:afterAutospacing="0" w:line="204" w:lineRule="atLeast"/>
        <w:ind w:firstLine="372"/>
        <w:rPr>
          <w:rFonts w:ascii="宋体"/>
          <w:sz w:val="21"/>
        </w:rPr>
      </w:pPr>
      <w:r>
        <w:rPr>
          <w:rFonts w:ascii="宋体" w:hint="eastAsia"/>
          <w:sz w:val="21"/>
        </w:rPr>
        <w:t>本文件给出了压水堆核电厂在停堆系统动作后的操作技术管理要求，强化停堆状态下的安全管理和机组状态控制，保障机组处于安全状态。</w:t>
      </w:r>
    </w:p>
    <w:p w14:paraId="17DD2F07" w14:textId="77777777" w:rsidR="008F6B68" w:rsidRDefault="00000000">
      <w:pPr>
        <w:pStyle w:val="affa"/>
        <w:widowControl/>
        <w:spacing w:beforeAutospacing="0" w:afterAutospacing="0" w:line="204" w:lineRule="atLeast"/>
        <w:ind w:firstLine="372"/>
        <w:rPr>
          <w:rFonts w:ascii="宋体"/>
          <w:sz w:val="21"/>
        </w:rPr>
      </w:pPr>
      <w:r>
        <w:rPr>
          <w:rFonts w:ascii="宋体" w:hint="eastAsia"/>
          <w:sz w:val="21"/>
        </w:rPr>
        <w:t>本文件适用于我国压水堆M310系列、CNP650系列二代堆型以及EPR、AP1000和华龙一号三代堆型。针对不同堆型机组的特殊操作技术管理要求，在文件中单独说明。</w:t>
      </w:r>
    </w:p>
    <w:p w14:paraId="1B61ED52" w14:textId="77777777" w:rsidR="008F6B68" w:rsidRDefault="00000000">
      <w:pPr>
        <w:pStyle w:val="a4"/>
      </w:pPr>
      <w:bookmarkStart w:id="31" w:name="_Toc475687366"/>
      <w:bookmarkStart w:id="32" w:name="_Toc14825"/>
      <w:bookmarkStart w:id="33" w:name="_Toc11032"/>
      <w:bookmarkStart w:id="34" w:name="_Toc142042960"/>
      <w:bookmarkStart w:id="35" w:name="_Toc46228655"/>
      <w:bookmarkStart w:id="36" w:name="_Toc9059"/>
      <w:bookmarkStart w:id="37" w:name="_Toc27681"/>
      <w:r>
        <w:rPr>
          <w:rFonts w:hint="eastAsia"/>
        </w:rPr>
        <w:t>规范性引用文件</w:t>
      </w:r>
      <w:bookmarkEnd w:id="31"/>
      <w:bookmarkEnd w:id="32"/>
      <w:bookmarkEnd w:id="33"/>
      <w:bookmarkEnd w:id="34"/>
      <w:bookmarkEnd w:id="35"/>
      <w:bookmarkEnd w:id="36"/>
      <w:bookmarkEnd w:id="37"/>
    </w:p>
    <w:p w14:paraId="16DA2B19" w14:textId="77777777" w:rsidR="008F6B68" w:rsidRDefault="00000000">
      <w:pPr>
        <w:pStyle w:val="aff9"/>
        <w:rPr>
          <w:szCs w:val="21"/>
        </w:rPr>
      </w:pPr>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AB41C6C" w14:textId="77777777" w:rsidR="008F6B68" w:rsidRDefault="00000000">
      <w:pPr>
        <w:pStyle w:val="aff9"/>
        <w:rPr>
          <w:szCs w:val="21"/>
        </w:rPr>
      </w:pPr>
      <w:r>
        <w:rPr>
          <w:rFonts w:hint="eastAsia"/>
          <w:szCs w:val="21"/>
        </w:rPr>
        <w:t>NB/T 20524-2018 压水堆核电厂安全停堆设计准则</w:t>
      </w:r>
    </w:p>
    <w:p w14:paraId="7AB339DE" w14:textId="77777777" w:rsidR="008F6B68" w:rsidRDefault="00000000">
      <w:pPr>
        <w:pStyle w:val="aff9"/>
        <w:rPr>
          <w:szCs w:val="21"/>
        </w:rPr>
      </w:pPr>
      <w:r>
        <w:rPr>
          <w:rFonts w:hint="eastAsia"/>
          <w:szCs w:val="21"/>
        </w:rPr>
        <w:t>EJ/T 561-2000 压水堆核电厂安全停堆设计准则</w:t>
      </w:r>
    </w:p>
    <w:p w14:paraId="48BFE34C" w14:textId="77777777" w:rsidR="008F6B68" w:rsidRDefault="00000000">
      <w:pPr>
        <w:pStyle w:val="a4"/>
      </w:pPr>
      <w:bookmarkStart w:id="38" w:name="_Toc475687367"/>
      <w:bookmarkStart w:id="39" w:name="_Toc3096"/>
      <w:bookmarkStart w:id="40" w:name="_Toc412"/>
      <w:bookmarkStart w:id="41" w:name="_Toc22836"/>
      <w:bookmarkStart w:id="42" w:name="_Toc19749"/>
      <w:bookmarkStart w:id="43" w:name="_Toc46228656"/>
      <w:bookmarkStart w:id="44" w:name="_Toc142042961"/>
      <w:bookmarkEnd w:id="38"/>
      <w:r>
        <w:rPr>
          <w:rFonts w:hint="eastAsia"/>
        </w:rPr>
        <w:t>术语和定义</w:t>
      </w:r>
      <w:bookmarkEnd w:id="39"/>
      <w:bookmarkEnd w:id="40"/>
      <w:bookmarkEnd w:id="41"/>
      <w:bookmarkEnd w:id="42"/>
      <w:bookmarkEnd w:id="43"/>
      <w:bookmarkEnd w:id="44"/>
    </w:p>
    <w:p w14:paraId="047FB8F3" w14:textId="77777777" w:rsidR="008F6B68" w:rsidRDefault="00000000">
      <w:pPr>
        <w:pStyle w:val="afff5"/>
      </w:pPr>
      <w:bookmarkStart w:id="45" w:name="_Toc23058"/>
      <w:bookmarkStart w:id="46" w:name="_Toc19947"/>
      <w:bookmarkStart w:id="47" w:name="_Toc4835"/>
      <w:bookmarkStart w:id="48" w:name="_Toc26288"/>
      <w:bookmarkStart w:id="49" w:name="_Toc142042962"/>
      <w:r>
        <w:rPr>
          <w:rFonts w:hint="eastAsia"/>
        </w:rPr>
        <w:t>3.</w:t>
      </w:r>
      <w:r>
        <w:t>1</w:t>
      </w:r>
    </w:p>
    <w:p w14:paraId="32E6E9B1" w14:textId="77777777" w:rsidR="008F6B68" w:rsidRDefault="00000000">
      <w:pPr>
        <w:pStyle w:val="afff5"/>
        <w:ind w:firstLineChars="200" w:firstLine="420"/>
      </w:pPr>
      <w:r>
        <w:rPr>
          <w:rFonts w:hint="eastAsia"/>
        </w:rPr>
        <w:t>核事故</w:t>
      </w:r>
      <w:bookmarkEnd w:id="45"/>
      <w:r>
        <w:rPr>
          <w:rFonts w:hint="eastAsia"/>
        </w:rPr>
        <w:t xml:space="preserve"> nuclear accident</w:t>
      </w:r>
      <w:bookmarkEnd w:id="46"/>
      <w:bookmarkEnd w:id="47"/>
      <w:bookmarkEnd w:id="48"/>
    </w:p>
    <w:p w14:paraId="5F9FF39B" w14:textId="77777777" w:rsidR="008F6B68" w:rsidRDefault="00000000">
      <w:pPr>
        <w:pStyle w:val="aff9"/>
        <w:rPr>
          <w:szCs w:val="21"/>
        </w:rPr>
      </w:pPr>
      <w:r>
        <w:rPr>
          <w:rFonts w:hint="eastAsia"/>
          <w:szCs w:val="21"/>
        </w:rPr>
        <w:t>是指核设施内的核燃料、放射性产物、放射性废物或者运入运出核设施的核材料所发生的放射性、毒害性、爆炸性或者其他危害性事故，或者一系列事故。</w:t>
      </w:r>
    </w:p>
    <w:p w14:paraId="16516604" w14:textId="77777777" w:rsidR="008F6B68" w:rsidRDefault="00000000">
      <w:pPr>
        <w:pStyle w:val="aff9"/>
        <w:ind w:firstLine="360"/>
        <w:rPr>
          <w:sz w:val="18"/>
          <w:szCs w:val="18"/>
        </w:rPr>
      </w:pPr>
      <w:r>
        <w:rPr>
          <w:rFonts w:hint="eastAsia"/>
          <w:sz w:val="18"/>
          <w:szCs w:val="18"/>
        </w:rPr>
        <w:t>注：本定义来自《核安全法》。</w:t>
      </w:r>
    </w:p>
    <w:p w14:paraId="4BC35FB9" w14:textId="77777777" w:rsidR="008F6B68" w:rsidRDefault="00000000">
      <w:pPr>
        <w:pStyle w:val="afff5"/>
      </w:pPr>
      <w:bookmarkStart w:id="50" w:name="_Toc3394"/>
      <w:bookmarkStart w:id="51" w:name="_Toc25842"/>
      <w:bookmarkStart w:id="52" w:name="_Toc9001"/>
      <w:bookmarkStart w:id="53" w:name="_Toc20065"/>
      <w:r>
        <w:rPr>
          <w:rFonts w:hint="eastAsia"/>
        </w:rPr>
        <w:t>3.2</w:t>
      </w:r>
    </w:p>
    <w:p w14:paraId="213C25DC" w14:textId="77777777" w:rsidR="008F6B68" w:rsidRDefault="00000000">
      <w:pPr>
        <w:pStyle w:val="afff5"/>
        <w:ind w:firstLineChars="200" w:firstLine="420"/>
      </w:pPr>
      <w:r>
        <w:rPr>
          <w:rFonts w:hint="eastAsia"/>
        </w:rPr>
        <w:t>纵深防御</w:t>
      </w:r>
      <w:bookmarkEnd w:id="50"/>
      <w:r>
        <w:rPr>
          <w:rFonts w:hint="eastAsia"/>
        </w:rPr>
        <w:t xml:space="preserve"> Defense in Depth</w:t>
      </w:r>
      <w:bookmarkEnd w:id="51"/>
      <w:bookmarkEnd w:id="52"/>
      <w:bookmarkEnd w:id="53"/>
    </w:p>
    <w:p w14:paraId="1B8520BF" w14:textId="77777777" w:rsidR="008F6B68" w:rsidRDefault="00000000">
      <w:pPr>
        <w:pStyle w:val="aff9"/>
        <w:rPr>
          <w:szCs w:val="21"/>
        </w:rPr>
      </w:pPr>
      <w:r>
        <w:rPr>
          <w:rFonts w:hint="eastAsia"/>
          <w:szCs w:val="21"/>
        </w:rPr>
        <w:t>是指通过设定一系列递进并且独立的防护、缓解措施或者实物屏障，防止核事故发生，减轻核事故后果。</w:t>
      </w:r>
    </w:p>
    <w:p w14:paraId="5D45FF39" w14:textId="77777777" w:rsidR="008F6B68" w:rsidRDefault="00000000">
      <w:pPr>
        <w:pStyle w:val="aff9"/>
        <w:ind w:firstLine="360"/>
        <w:rPr>
          <w:sz w:val="18"/>
          <w:szCs w:val="18"/>
        </w:rPr>
      </w:pPr>
      <w:r>
        <w:rPr>
          <w:rFonts w:hint="eastAsia"/>
          <w:sz w:val="18"/>
          <w:szCs w:val="18"/>
        </w:rPr>
        <w:t>注：本定义来自《核安全法》。</w:t>
      </w:r>
    </w:p>
    <w:p w14:paraId="615D249E" w14:textId="77777777" w:rsidR="008F6B68" w:rsidRDefault="00000000">
      <w:pPr>
        <w:pStyle w:val="afff5"/>
      </w:pPr>
      <w:bookmarkStart w:id="54" w:name="_Toc4696"/>
      <w:bookmarkStart w:id="55" w:name="_Toc10701"/>
      <w:bookmarkStart w:id="56" w:name="_Toc24696"/>
      <w:bookmarkStart w:id="57" w:name="_Toc14729"/>
      <w:r>
        <w:rPr>
          <w:rFonts w:hint="eastAsia"/>
        </w:rPr>
        <w:t>3.3</w:t>
      </w:r>
    </w:p>
    <w:p w14:paraId="4D52A55A" w14:textId="77777777" w:rsidR="008F6B68" w:rsidRDefault="00000000">
      <w:pPr>
        <w:pStyle w:val="afff5"/>
        <w:ind w:firstLineChars="200" w:firstLine="420"/>
      </w:pPr>
      <w:r>
        <w:rPr>
          <w:rFonts w:hint="eastAsia"/>
        </w:rPr>
        <w:t>核设施营运单位</w:t>
      </w:r>
      <w:bookmarkEnd w:id="54"/>
      <w:r>
        <w:rPr>
          <w:rFonts w:hint="eastAsia"/>
        </w:rPr>
        <w:t xml:space="preserve"> Nuclear Facility Operator</w:t>
      </w:r>
      <w:bookmarkEnd w:id="55"/>
      <w:bookmarkEnd w:id="56"/>
      <w:bookmarkEnd w:id="57"/>
    </w:p>
    <w:p w14:paraId="769E535F" w14:textId="77777777" w:rsidR="008F6B68" w:rsidRDefault="00000000">
      <w:pPr>
        <w:pStyle w:val="aff9"/>
        <w:rPr>
          <w:szCs w:val="21"/>
        </w:rPr>
      </w:pPr>
      <w:r>
        <w:rPr>
          <w:rFonts w:hint="eastAsia"/>
          <w:szCs w:val="21"/>
        </w:rPr>
        <w:t>是指在中华人民共和国境内，申请或者持有核设施安全许可证，可以经营和运行核设施的单位。</w:t>
      </w:r>
    </w:p>
    <w:p w14:paraId="32F15002" w14:textId="77777777" w:rsidR="008F6B68" w:rsidRDefault="00000000">
      <w:pPr>
        <w:pStyle w:val="aff9"/>
        <w:ind w:firstLine="360"/>
        <w:rPr>
          <w:sz w:val="18"/>
          <w:szCs w:val="18"/>
        </w:rPr>
      </w:pPr>
      <w:r>
        <w:rPr>
          <w:rFonts w:hint="eastAsia"/>
          <w:sz w:val="18"/>
          <w:szCs w:val="18"/>
        </w:rPr>
        <w:t>注：本定义来自《核安全法》。</w:t>
      </w:r>
    </w:p>
    <w:p w14:paraId="6E97372A" w14:textId="77777777" w:rsidR="008F6B68" w:rsidRDefault="00000000">
      <w:pPr>
        <w:pStyle w:val="afff5"/>
      </w:pPr>
      <w:bookmarkStart w:id="58" w:name="_Toc20686"/>
      <w:bookmarkStart w:id="59" w:name="_Toc9255"/>
      <w:bookmarkStart w:id="60" w:name="_Toc17204"/>
      <w:bookmarkStart w:id="61" w:name="_Toc32749"/>
      <w:r>
        <w:rPr>
          <w:rFonts w:hint="eastAsia"/>
        </w:rPr>
        <w:t>3.4</w:t>
      </w:r>
    </w:p>
    <w:p w14:paraId="3A2C2950" w14:textId="77777777" w:rsidR="008F6B68" w:rsidRDefault="00000000">
      <w:pPr>
        <w:pStyle w:val="afff5"/>
        <w:ind w:firstLineChars="200" w:firstLine="420"/>
      </w:pPr>
      <w:r>
        <w:rPr>
          <w:rFonts w:hint="eastAsia"/>
        </w:rPr>
        <w:lastRenderedPageBreak/>
        <w:t>停堆关键安全功能</w:t>
      </w:r>
      <w:bookmarkEnd w:id="58"/>
      <w:r>
        <w:rPr>
          <w:rFonts w:hint="eastAsia"/>
        </w:rPr>
        <w:t xml:space="preserve"> Shutdown Key Safety Function</w:t>
      </w:r>
      <w:bookmarkEnd w:id="59"/>
      <w:bookmarkEnd w:id="60"/>
      <w:bookmarkEnd w:id="61"/>
    </w:p>
    <w:p w14:paraId="4B39C0FF" w14:textId="77777777" w:rsidR="008F6B68" w:rsidRDefault="00000000">
      <w:pPr>
        <w:pStyle w:val="aff9"/>
        <w:rPr>
          <w:szCs w:val="21"/>
        </w:rPr>
      </w:pPr>
      <w:r>
        <w:rPr>
          <w:rFonts w:hint="eastAsia"/>
          <w:szCs w:val="21"/>
        </w:rPr>
        <w:t>与停堆相关的关键安全功能包括实现以下目标所必需的功能：反应性安全功能，在任何情况下以连续方式控制核燃料的反应性；冷却安全功能，在任何情况下以连续方式控制核反应堆的冷却；屏障安全功能，在任何情况下以连续方式控制放射性物质的释放。</w:t>
      </w:r>
    </w:p>
    <w:p w14:paraId="01ADD5CD" w14:textId="77777777" w:rsidR="008F6B68" w:rsidRDefault="00000000">
      <w:pPr>
        <w:pStyle w:val="aff9"/>
        <w:rPr>
          <w:szCs w:val="21"/>
        </w:rPr>
      </w:pPr>
      <w:r>
        <w:rPr>
          <w:rFonts w:hint="eastAsia"/>
          <w:szCs w:val="21"/>
        </w:rPr>
        <w:t>停堆关键安全功能是指：余热排出、水装量控制、电源可用性、反应性控制、安全壳完整性。</w:t>
      </w:r>
    </w:p>
    <w:p w14:paraId="04EFC0D0" w14:textId="77777777" w:rsidR="008F6B68" w:rsidRDefault="00000000">
      <w:pPr>
        <w:pStyle w:val="aff9"/>
        <w:ind w:firstLine="360"/>
        <w:rPr>
          <w:sz w:val="18"/>
          <w:szCs w:val="18"/>
        </w:rPr>
      </w:pPr>
      <w:r>
        <w:rPr>
          <w:rFonts w:hint="eastAsia"/>
          <w:sz w:val="18"/>
          <w:szCs w:val="18"/>
        </w:rPr>
        <w:t>注：本定义来自IAEA。</w:t>
      </w:r>
    </w:p>
    <w:p w14:paraId="7CC4ACE6" w14:textId="77777777" w:rsidR="008F6B68" w:rsidRDefault="00000000">
      <w:pPr>
        <w:pStyle w:val="afff5"/>
      </w:pPr>
      <w:bookmarkStart w:id="62" w:name="_Toc12726"/>
      <w:bookmarkStart w:id="63" w:name="_Toc21137"/>
      <w:bookmarkStart w:id="64" w:name="_Toc758"/>
      <w:bookmarkStart w:id="65" w:name="_Toc30225"/>
      <w:r>
        <w:rPr>
          <w:rFonts w:hint="eastAsia"/>
        </w:rPr>
        <w:t>3.5</w:t>
      </w:r>
    </w:p>
    <w:p w14:paraId="2029F360" w14:textId="77777777" w:rsidR="008F6B68" w:rsidRDefault="00000000">
      <w:pPr>
        <w:pStyle w:val="afff5"/>
        <w:ind w:firstLineChars="200" w:firstLine="420"/>
      </w:pPr>
      <w:r>
        <w:rPr>
          <w:rFonts w:hint="eastAsia"/>
        </w:rPr>
        <w:t>高风险活动</w:t>
      </w:r>
      <w:bookmarkEnd w:id="62"/>
      <w:r>
        <w:rPr>
          <w:rFonts w:hint="eastAsia"/>
        </w:rPr>
        <w:t xml:space="preserve"> High-Risk Activities</w:t>
      </w:r>
      <w:bookmarkEnd w:id="63"/>
      <w:bookmarkEnd w:id="64"/>
      <w:bookmarkEnd w:id="65"/>
    </w:p>
    <w:p w14:paraId="046A6FF0" w14:textId="77777777" w:rsidR="008F6B68" w:rsidRDefault="00000000">
      <w:pPr>
        <w:pStyle w:val="aff9"/>
        <w:rPr>
          <w:szCs w:val="21"/>
        </w:rPr>
      </w:pPr>
      <w:r>
        <w:rPr>
          <w:rFonts w:hint="eastAsia"/>
          <w:szCs w:val="21"/>
        </w:rPr>
        <w:t>是指可能损害纵深防御或威胁安全屏障的活动，在停堆期间，容易导致关键安全功能失去的机组运行活动、机组配置或状态。</w:t>
      </w:r>
    </w:p>
    <w:p w14:paraId="0254F74C" w14:textId="77777777" w:rsidR="008F6B68" w:rsidRDefault="00000000">
      <w:pPr>
        <w:pStyle w:val="aff9"/>
        <w:ind w:firstLine="360"/>
        <w:rPr>
          <w:sz w:val="18"/>
          <w:szCs w:val="18"/>
        </w:rPr>
      </w:pPr>
      <w:r>
        <w:rPr>
          <w:rFonts w:hint="eastAsia"/>
          <w:sz w:val="18"/>
          <w:szCs w:val="18"/>
        </w:rPr>
        <w:t>注：本定义来自IAEA。</w:t>
      </w:r>
    </w:p>
    <w:p w14:paraId="109FDF6D" w14:textId="77777777" w:rsidR="008F6B68" w:rsidRDefault="00000000">
      <w:pPr>
        <w:pStyle w:val="afff5"/>
      </w:pPr>
      <w:bookmarkStart w:id="66" w:name="_Toc8838"/>
      <w:bookmarkStart w:id="67" w:name="_Toc5969"/>
      <w:bookmarkStart w:id="68" w:name="_Toc21219"/>
      <w:bookmarkStart w:id="69" w:name="_Toc21772"/>
      <w:r>
        <w:rPr>
          <w:rFonts w:hint="eastAsia"/>
        </w:rPr>
        <w:t>3.6</w:t>
      </w:r>
    </w:p>
    <w:p w14:paraId="604B10A5" w14:textId="77777777" w:rsidR="008F6B68" w:rsidRDefault="00000000">
      <w:pPr>
        <w:pStyle w:val="afff5"/>
        <w:ind w:firstLineChars="200" w:firstLine="420"/>
      </w:pPr>
      <w:r>
        <w:rPr>
          <w:rFonts w:hint="eastAsia"/>
        </w:rPr>
        <w:t>自然循环</w:t>
      </w:r>
      <w:bookmarkEnd w:id="66"/>
      <w:r>
        <w:rPr>
          <w:rFonts w:hint="eastAsia"/>
        </w:rPr>
        <w:t xml:space="preserve"> Natural Circulation</w:t>
      </w:r>
      <w:bookmarkEnd w:id="67"/>
      <w:bookmarkEnd w:id="68"/>
      <w:bookmarkEnd w:id="69"/>
    </w:p>
    <w:p w14:paraId="3ACA75B0" w14:textId="77777777" w:rsidR="008F6B68" w:rsidRDefault="00000000">
      <w:pPr>
        <w:pStyle w:val="aff9"/>
        <w:rPr>
          <w:szCs w:val="21"/>
        </w:rPr>
      </w:pPr>
      <w:r>
        <w:rPr>
          <w:rFonts w:hint="eastAsia"/>
          <w:szCs w:val="21"/>
        </w:rPr>
        <w:t>是指在一个回路系统内，存在热源和热阱，且热阱和热源存在高度差，依靠冷段下降流和热段上升流中流体的密度差所产生的驱动压头来实现的流动循环。</w:t>
      </w:r>
    </w:p>
    <w:p w14:paraId="0411C26C" w14:textId="77777777" w:rsidR="008F6B68" w:rsidRDefault="00000000">
      <w:pPr>
        <w:pStyle w:val="aff9"/>
        <w:ind w:firstLine="360"/>
        <w:rPr>
          <w:sz w:val="18"/>
          <w:szCs w:val="18"/>
        </w:rPr>
      </w:pPr>
      <w:r>
        <w:rPr>
          <w:rFonts w:hint="eastAsia"/>
          <w:sz w:val="18"/>
          <w:szCs w:val="18"/>
        </w:rPr>
        <w:t>注：本定义来自IAEA。</w:t>
      </w:r>
    </w:p>
    <w:p w14:paraId="385C68C6" w14:textId="77777777" w:rsidR="008F6B68" w:rsidRDefault="00000000">
      <w:pPr>
        <w:pStyle w:val="afff5"/>
      </w:pPr>
      <w:bookmarkStart w:id="70" w:name="_Toc23614"/>
      <w:bookmarkStart w:id="71" w:name="_Toc18616"/>
      <w:bookmarkStart w:id="72" w:name="_Toc30487"/>
      <w:r>
        <w:rPr>
          <w:rFonts w:hint="eastAsia"/>
        </w:rPr>
        <w:t>3.7</w:t>
      </w:r>
    </w:p>
    <w:p w14:paraId="4C2C4EF8" w14:textId="77777777" w:rsidR="008F6B68" w:rsidRDefault="00000000">
      <w:pPr>
        <w:pStyle w:val="afff5"/>
        <w:ind w:firstLineChars="200" w:firstLine="420"/>
      </w:pPr>
      <w:r>
        <w:rPr>
          <w:rFonts w:hint="eastAsia"/>
        </w:rPr>
        <w:t>安全停堆状态 Safe Shutdown State</w:t>
      </w:r>
      <w:bookmarkEnd w:id="70"/>
      <w:bookmarkEnd w:id="71"/>
      <w:bookmarkEnd w:id="72"/>
    </w:p>
    <w:p w14:paraId="5ADE4E2B" w14:textId="77777777" w:rsidR="008F6B68" w:rsidRDefault="00000000">
      <w:pPr>
        <w:pStyle w:val="afc"/>
        <w:ind w:firstLine="420"/>
      </w:pPr>
      <w:r>
        <w:rPr>
          <w:rFonts w:ascii="宋体" w:hAnsi="宋体" w:cs="宋体" w:hint="eastAsia"/>
          <w:color w:val="000000"/>
          <w:szCs w:val="21"/>
        </w:rPr>
        <w:t>指反应堆处于次临界状态，堆芯余热能够持续导出，放射性物质的释放控制在可接受范围内。</w:t>
      </w:r>
    </w:p>
    <w:p w14:paraId="1D69ABCD" w14:textId="77777777" w:rsidR="008F6B68" w:rsidRDefault="00000000">
      <w:pPr>
        <w:pStyle w:val="aff9"/>
        <w:ind w:firstLine="360"/>
        <w:rPr>
          <w:sz w:val="18"/>
          <w:szCs w:val="18"/>
        </w:rPr>
      </w:pPr>
      <w:r>
        <w:rPr>
          <w:rFonts w:hint="eastAsia"/>
          <w:sz w:val="18"/>
          <w:szCs w:val="18"/>
        </w:rPr>
        <w:t>注：本定义来自IAEA。</w:t>
      </w:r>
    </w:p>
    <w:p w14:paraId="79F0ABB0" w14:textId="77777777" w:rsidR="008F6B68" w:rsidRDefault="00000000">
      <w:pPr>
        <w:pStyle w:val="a4"/>
      </w:pPr>
      <w:bookmarkStart w:id="73" w:name="_Toc23094"/>
      <w:bookmarkStart w:id="74" w:name="_Toc2676"/>
      <w:bookmarkStart w:id="75" w:name="_Toc27902"/>
      <w:r>
        <w:rPr>
          <w:rFonts w:hint="eastAsia"/>
        </w:rPr>
        <w:t>总则</w:t>
      </w:r>
      <w:bookmarkEnd w:id="73"/>
      <w:bookmarkEnd w:id="74"/>
      <w:bookmarkEnd w:id="75"/>
    </w:p>
    <w:p w14:paraId="20F78570" w14:textId="77777777" w:rsidR="008F6B68" w:rsidRDefault="00000000">
      <w:pPr>
        <w:pStyle w:val="aff9"/>
        <w:rPr>
          <w:szCs w:val="21"/>
        </w:rPr>
      </w:pPr>
      <w:r>
        <w:rPr>
          <w:rFonts w:hint="eastAsia"/>
          <w:szCs w:val="21"/>
        </w:rPr>
        <w:t>压水堆核电厂停堆系统是纵深防御体系中的关键安全屏障，停堆后操作直接影响核安全三道屏障的完整性。国内外运行经验（如WANO SOER 2021-2）表明，约四分之一的运行事件与停堆后操作不当相关。因此，亟需建立标准化的停堆系统动作后操作技术管理要求，以强化风险管控。</w:t>
      </w:r>
    </w:p>
    <w:p w14:paraId="52C6CEF6" w14:textId="77777777" w:rsidR="008F6B68" w:rsidRDefault="00000000">
      <w:pPr>
        <w:pStyle w:val="aff9"/>
        <w:rPr>
          <w:szCs w:val="21"/>
        </w:rPr>
      </w:pPr>
      <w:r>
        <w:rPr>
          <w:rFonts w:hint="eastAsia"/>
          <w:szCs w:val="21"/>
        </w:rPr>
        <w:t>本文件适用于压水堆核电机组在以下工况下的操作技术管理：a) 非事故工况下的计划性停堆（包括热停堆和冷停堆状态）；b) 设计基准事故触发的紧急停堆；c) 停堆后状态维持及向长期稳定工况过渡；d) 停堆后的重新临界。</w:t>
      </w:r>
    </w:p>
    <w:p w14:paraId="2FFE92D4" w14:textId="77777777" w:rsidR="008F6B68" w:rsidRDefault="00000000">
      <w:pPr>
        <w:pStyle w:val="a4"/>
      </w:pPr>
      <w:bookmarkStart w:id="76" w:name="_Toc142042978"/>
      <w:bookmarkStart w:id="77" w:name="_Toc16869"/>
      <w:bookmarkStart w:id="78" w:name="_Toc28778"/>
      <w:bookmarkStart w:id="79" w:name="_Toc144"/>
      <w:bookmarkStart w:id="80" w:name="_Toc12987"/>
      <w:bookmarkEnd w:id="49"/>
      <w:r>
        <w:rPr>
          <w:rFonts w:hint="eastAsia"/>
        </w:rPr>
        <w:t>反应堆紧急停堆功能一般要求</w:t>
      </w:r>
      <w:bookmarkEnd w:id="76"/>
      <w:bookmarkEnd w:id="77"/>
      <w:bookmarkEnd w:id="78"/>
      <w:bookmarkEnd w:id="79"/>
      <w:bookmarkEnd w:id="80"/>
    </w:p>
    <w:p w14:paraId="5453923A" w14:textId="77777777" w:rsidR="008F6B68" w:rsidRDefault="00000000">
      <w:pPr>
        <w:pStyle w:val="afff5"/>
      </w:pPr>
      <w:bookmarkStart w:id="81" w:name="_Toc142042979"/>
      <w:bookmarkStart w:id="82" w:name="_Toc5890"/>
      <w:bookmarkStart w:id="83" w:name="_Toc30614"/>
      <w:bookmarkStart w:id="84" w:name="_Toc2135"/>
      <w:bookmarkStart w:id="85" w:name="_Toc15193"/>
      <w:r>
        <w:rPr>
          <w:rFonts w:hint="eastAsia"/>
        </w:rPr>
        <w:t>5.</w:t>
      </w:r>
      <w:r>
        <w:t>1</w:t>
      </w:r>
      <w:bookmarkEnd w:id="81"/>
      <w:r>
        <w:rPr>
          <w:rFonts w:hint="eastAsia"/>
        </w:rPr>
        <w:t>反应堆紧急停堆系统功能要求</w:t>
      </w:r>
      <w:bookmarkEnd w:id="82"/>
      <w:bookmarkEnd w:id="83"/>
      <w:bookmarkEnd w:id="84"/>
      <w:bookmarkEnd w:id="85"/>
    </w:p>
    <w:p w14:paraId="251D924A" w14:textId="77777777" w:rsidR="008F6B68" w:rsidRDefault="00000000">
      <w:pPr>
        <w:pStyle w:val="aff9"/>
        <w:rPr>
          <w:szCs w:val="21"/>
        </w:rPr>
      </w:pPr>
      <w:r>
        <w:rPr>
          <w:rFonts w:hint="eastAsia"/>
          <w:szCs w:val="21"/>
        </w:rPr>
        <w:t>当反应堆参数接近安全运行范围限值时，反应堆紧急停堆系统应能自动停闭反应堆，阻止其在不安全范围内运行。安全运行范围是通过对设备的力学/水力学方面的限制以及热传输现象等多种因素的考虑来确定的。因此，反应堆紧急停堆系统持续监测与设备力学限制直接相关的过程变量，如压力、稳压器水位等，还监测直接影响反应堆传热能力的变量，如流量和反应堆冷却剂温度等，还有的用于反应堆</w:t>
      </w:r>
      <w:r>
        <w:rPr>
          <w:rFonts w:hint="eastAsia"/>
          <w:szCs w:val="21"/>
        </w:rPr>
        <w:lastRenderedPageBreak/>
        <w:t>紧急停堆系统的其他参数是由多个过程变量计算得到的。在任何情况下，任一直接过程变量或计算变量超过整定值时，即应触发反应堆停闭，以防止燃料包壳损坏或反应堆冷却剂系统完整性丧失导致的放射性裂变产物向安全壳释放。</w:t>
      </w:r>
    </w:p>
    <w:p w14:paraId="7A81E4D7" w14:textId="77777777" w:rsidR="008F6B68" w:rsidRDefault="00000000">
      <w:pPr>
        <w:pStyle w:val="aff9"/>
        <w:rPr>
          <w:szCs w:val="21"/>
        </w:rPr>
      </w:pPr>
      <w:r>
        <w:rPr>
          <w:rFonts w:hint="eastAsia"/>
          <w:szCs w:val="21"/>
        </w:rPr>
        <w:t>一旦反应堆紧急停堆系统监测的电站工况达到了预定水平，反应堆停堆电路便自动地断开反应堆停堆断路器。为了确保系统可靠，应采用高质量的设计、部件和制造，进行严格的质量控制和充分的试验。反应堆紧急停堆系统的设计除了需采用冗余的通道和系列外，还应采用监测多种系统变量的方法，从而提供保护系统功能的多样性。功能多样性的保护参数被分配到不同的处理器中进行处理，从而防御潜在的共模（因）故障。在保护系统的设计中，还应采用设备多样性设计、系统级手动控制设计等措施对共模故障进行防御。</w:t>
      </w:r>
    </w:p>
    <w:p w14:paraId="643502A4" w14:textId="77777777" w:rsidR="008F6B68" w:rsidRDefault="00000000">
      <w:pPr>
        <w:pStyle w:val="afff5"/>
        <w:rPr>
          <w:rFonts w:cs="Arial"/>
          <w:bCs/>
          <w:sz w:val="24"/>
        </w:rPr>
      </w:pPr>
      <w:bookmarkStart w:id="86" w:name="_Toc142042980"/>
      <w:bookmarkStart w:id="87" w:name="_Toc16689"/>
      <w:bookmarkStart w:id="88" w:name="_Toc4668"/>
      <w:bookmarkStart w:id="89" w:name="_Toc2211"/>
      <w:bookmarkStart w:id="90" w:name="_Toc8288"/>
      <w:r>
        <w:rPr>
          <w:rFonts w:hint="eastAsia"/>
        </w:rPr>
        <w:t>5.</w:t>
      </w:r>
      <w:r>
        <w:t>2</w:t>
      </w:r>
      <w:bookmarkEnd w:id="86"/>
      <w:r>
        <w:rPr>
          <w:rFonts w:hint="eastAsia"/>
        </w:rPr>
        <w:t>反应堆紧急停堆系统特性要求</w:t>
      </w:r>
      <w:bookmarkEnd w:id="87"/>
      <w:bookmarkEnd w:id="88"/>
      <w:bookmarkEnd w:id="89"/>
      <w:bookmarkEnd w:id="90"/>
    </w:p>
    <w:p w14:paraId="60B33534" w14:textId="77777777" w:rsidR="008F6B68" w:rsidRDefault="00000000">
      <w:pPr>
        <w:pStyle w:val="aff9"/>
        <w:rPr>
          <w:szCs w:val="21"/>
        </w:rPr>
      </w:pPr>
      <w:r>
        <w:rPr>
          <w:rFonts w:hint="eastAsia"/>
        </w:rPr>
        <w:t>依据NB/T 20524-2018《压水堆核电厂安全停堆设计准则》的4.2安全功能要求</w:t>
      </w:r>
      <w:r>
        <w:rPr>
          <w:rStyle w:val="afff3"/>
          <w:rFonts w:ascii="Times New Roman" w:hint="eastAsia"/>
          <w:kern w:val="2"/>
        </w:rPr>
        <w:t>，</w:t>
      </w:r>
      <w:r>
        <w:rPr>
          <w:rFonts w:hint="eastAsia"/>
          <w:szCs w:val="21"/>
        </w:rPr>
        <w:t>达到安全停堆状态必须实施的安全有关功能包括：</w:t>
      </w:r>
    </w:p>
    <w:p w14:paraId="560CEDBF" w14:textId="77777777" w:rsidR="008F6B68" w:rsidRDefault="00000000">
      <w:pPr>
        <w:pStyle w:val="aff9"/>
        <w:numPr>
          <w:ilvl w:val="0"/>
          <w:numId w:val="18"/>
        </w:numPr>
        <w:tabs>
          <w:tab w:val="clear" w:pos="420"/>
          <w:tab w:val="clear" w:pos="4201"/>
        </w:tabs>
        <w:ind w:left="840" w:firstLine="420"/>
        <w:rPr>
          <w:szCs w:val="21"/>
        </w:rPr>
      </w:pPr>
      <w:r>
        <w:rPr>
          <w:rFonts w:hint="eastAsia"/>
          <w:szCs w:val="21"/>
        </w:rPr>
        <w:t>堆芯反应性控制；</w:t>
      </w:r>
    </w:p>
    <w:p w14:paraId="49099AC4" w14:textId="77777777" w:rsidR="008F6B68" w:rsidRDefault="00000000">
      <w:pPr>
        <w:pStyle w:val="aff9"/>
        <w:numPr>
          <w:ilvl w:val="0"/>
          <w:numId w:val="18"/>
        </w:numPr>
        <w:tabs>
          <w:tab w:val="clear" w:pos="420"/>
          <w:tab w:val="clear" w:pos="4201"/>
        </w:tabs>
        <w:ind w:left="840" w:firstLine="420"/>
        <w:rPr>
          <w:szCs w:val="21"/>
        </w:rPr>
      </w:pPr>
      <w:r>
        <w:rPr>
          <w:rFonts w:hint="eastAsia"/>
          <w:szCs w:val="21"/>
        </w:rPr>
        <w:t>堆芯余热排出；</w:t>
      </w:r>
    </w:p>
    <w:p w14:paraId="10833E01" w14:textId="77777777" w:rsidR="008F6B68" w:rsidRDefault="00000000">
      <w:pPr>
        <w:pStyle w:val="aff9"/>
        <w:numPr>
          <w:ilvl w:val="0"/>
          <w:numId w:val="18"/>
        </w:numPr>
        <w:tabs>
          <w:tab w:val="clear" w:pos="420"/>
          <w:tab w:val="clear" w:pos="4201"/>
        </w:tabs>
        <w:ind w:left="840" w:firstLine="420"/>
        <w:rPr>
          <w:szCs w:val="21"/>
        </w:rPr>
      </w:pPr>
      <w:r>
        <w:rPr>
          <w:rFonts w:hint="eastAsia"/>
          <w:szCs w:val="21"/>
        </w:rPr>
        <w:t>保持反应堆冷却剂压力边界完整性，包括：</w:t>
      </w:r>
    </w:p>
    <w:p w14:paraId="15EE55F4" w14:textId="77777777" w:rsidR="008F6B68" w:rsidRDefault="00000000">
      <w:pPr>
        <w:pStyle w:val="aff9"/>
        <w:numPr>
          <w:ilvl w:val="0"/>
          <w:numId w:val="19"/>
        </w:numPr>
        <w:tabs>
          <w:tab w:val="clear" w:pos="4201"/>
          <w:tab w:val="clear" w:pos="9298"/>
        </w:tabs>
        <w:ind w:leftChars="401" w:left="1056" w:hangingChars="102" w:hanging="214"/>
        <w:rPr>
          <w:szCs w:val="21"/>
        </w:rPr>
      </w:pPr>
      <w:r>
        <w:rPr>
          <w:rFonts w:hint="eastAsia"/>
          <w:szCs w:val="21"/>
        </w:rPr>
        <w:t>反应堆冷却剂系统水装量控制；</w:t>
      </w:r>
    </w:p>
    <w:p w14:paraId="73641DD8" w14:textId="77777777" w:rsidR="008F6B68" w:rsidRDefault="00000000">
      <w:pPr>
        <w:pStyle w:val="aff9"/>
        <w:numPr>
          <w:ilvl w:val="0"/>
          <w:numId w:val="19"/>
        </w:numPr>
        <w:tabs>
          <w:tab w:val="clear" w:pos="4201"/>
          <w:tab w:val="clear" w:pos="9298"/>
        </w:tabs>
        <w:ind w:leftChars="401" w:left="1056" w:hangingChars="102" w:hanging="214"/>
        <w:rPr>
          <w:szCs w:val="21"/>
        </w:rPr>
      </w:pPr>
      <w:r>
        <w:rPr>
          <w:rFonts w:hint="eastAsia"/>
          <w:szCs w:val="21"/>
        </w:rPr>
        <w:t>反应堆冷却剂系统压力控制；</w:t>
      </w:r>
    </w:p>
    <w:p w14:paraId="62D9EE1D" w14:textId="77777777" w:rsidR="008F6B68" w:rsidRDefault="00000000">
      <w:pPr>
        <w:pStyle w:val="aff9"/>
        <w:numPr>
          <w:ilvl w:val="0"/>
          <w:numId w:val="19"/>
        </w:numPr>
        <w:tabs>
          <w:tab w:val="clear" w:pos="4201"/>
          <w:tab w:val="clear" w:pos="9298"/>
        </w:tabs>
        <w:ind w:leftChars="401" w:left="1056" w:hangingChars="102" w:hanging="214"/>
        <w:rPr>
          <w:szCs w:val="21"/>
        </w:rPr>
      </w:pPr>
      <w:r>
        <w:rPr>
          <w:rFonts w:hint="eastAsia"/>
          <w:szCs w:val="21"/>
        </w:rPr>
        <w:t>反应堆冷却剂系统温度控制。</w:t>
      </w:r>
    </w:p>
    <w:p w14:paraId="5D90B81C" w14:textId="77777777" w:rsidR="008F6B68" w:rsidRDefault="00000000">
      <w:pPr>
        <w:pStyle w:val="aff9"/>
        <w:rPr>
          <w:szCs w:val="21"/>
        </w:rPr>
      </w:pPr>
      <w:r>
        <w:rPr>
          <w:rFonts w:hint="eastAsia"/>
          <w:szCs w:val="21"/>
        </w:rPr>
        <w:t>反应堆紧急停堆系统应在下述情况下自动触发停堆：</w:t>
      </w:r>
    </w:p>
    <w:p w14:paraId="13F3E164" w14:textId="77777777" w:rsidR="008F6B68" w:rsidRDefault="00000000">
      <w:pPr>
        <w:pStyle w:val="aff9"/>
        <w:numPr>
          <w:ilvl w:val="0"/>
          <w:numId w:val="20"/>
        </w:numPr>
        <w:tabs>
          <w:tab w:val="clear" w:pos="420"/>
          <w:tab w:val="clear" w:pos="4201"/>
        </w:tabs>
        <w:ind w:left="840" w:firstLine="420"/>
        <w:rPr>
          <w:szCs w:val="21"/>
        </w:rPr>
      </w:pPr>
      <w:r>
        <w:rPr>
          <w:rFonts w:hint="eastAsia"/>
          <w:szCs w:val="21"/>
        </w:rPr>
        <w:t>对于预期运行瞬态（Ⅱ类工况），任何时候都必须防止燃料棒损坏；</w:t>
      </w:r>
    </w:p>
    <w:p w14:paraId="0E1A7D4B" w14:textId="77777777" w:rsidR="008F6B68" w:rsidRDefault="00000000">
      <w:pPr>
        <w:pStyle w:val="aff9"/>
        <w:numPr>
          <w:ilvl w:val="0"/>
          <w:numId w:val="20"/>
        </w:numPr>
        <w:tabs>
          <w:tab w:val="clear" w:pos="420"/>
          <w:tab w:val="clear" w:pos="4201"/>
        </w:tabs>
        <w:ind w:left="840" w:firstLine="420"/>
        <w:rPr>
          <w:szCs w:val="21"/>
        </w:rPr>
      </w:pPr>
      <w:r>
        <w:rPr>
          <w:rFonts w:hint="eastAsia"/>
          <w:szCs w:val="21"/>
        </w:rPr>
        <w:t>对于稀有事件（Ⅲ类工况），限制堆芯损坏；</w:t>
      </w:r>
    </w:p>
    <w:p w14:paraId="2945500F" w14:textId="77777777" w:rsidR="008F6B68" w:rsidRDefault="00000000">
      <w:pPr>
        <w:pStyle w:val="aff9"/>
        <w:numPr>
          <w:ilvl w:val="0"/>
          <w:numId w:val="20"/>
        </w:numPr>
        <w:tabs>
          <w:tab w:val="clear" w:pos="420"/>
          <w:tab w:val="clear" w:pos="4201"/>
        </w:tabs>
        <w:ind w:left="840" w:firstLine="420"/>
        <w:rPr>
          <w:szCs w:val="21"/>
        </w:rPr>
      </w:pPr>
      <w:r>
        <w:rPr>
          <w:rFonts w:hint="eastAsia"/>
          <w:szCs w:val="21"/>
        </w:rPr>
        <w:t>对于极限故障（Ⅳ类工况），使堆芯产生的能量同保护反应堆冷却剂系统边界的设计措施相适应。</w:t>
      </w:r>
    </w:p>
    <w:p w14:paraId="631D108F" w14:textId="77777777" w:rsidR="008F6B68" w:rsidRDefault="00000000">
      <w:pPr>
        <w:pStyle w:val="aff9"/>
        <w:rPr>
          <w:szCs w:val="21"/>
        </w:rPr>
      </w:pPr>
      <w:r>
        <w:rPr>
          <w:rFonts w:hint="eastAsia"/>
          <w:szCs w:val="21"/>
        </w:rPr>
        <w:t>一旦触发停堆，反应堆紧急停堆系统应发出汽轮机跳闸信号，以防止因反应堆过度冷却引入正反应性，进而避免专设安全设施驱动系统的不必要动作。</w:t>
      </w:r>
    </w:p>
    <w:p w14:paraId="6D11383B" w14:textId="77777777" w:rsidR="008F6B68" w:rsidRDefault="00000000">
      <w:pPr>
        <w:pStyle w:val="aff9"/>
        <w:rPr>
          <w:szCs w:val="21"/>
        </w:rPr>
      </w:pPr>
      <w:r>
        <w:rPr>
          <w:rFonts w:hint="eastAsia"/>
          <w:szCs w:val="21"/>
        </w:rPr>
        <w:t>反应堆紧急停堆系统提供手动触发反应堆停堆的功能。通过主控制室中操纵员的操作，保证手动触发反应堆停堆。</w:t>
      </w:r>
    </w:p>
    <w:p w14:paraId="48A71A0E" w14:textId="77777777" w:rsidR="008F6B68" w:rsidRDefault="00000000">
      <w:pPr>
        <w:pStyle w:val="afff5"/>
      </w:pPr>
      <w:bookmarkStart w:id="91" w:name="_Toc142042981"/>
      <w:bookmarkStart w:id="92" w:name="_Toc11407"/>
      <w:bookmarkStart w:id="93" w:name="_Toc9745"/>
      <w:bookmarkStart w:id="94" w:name="_Toc8860"/>
      <w:bookmarkStart w:id="95" w:name="_Toc7987"/>
      <w:r>
        <w:rPr>
          <w:rFonts w:hint="eastAsia"/>
        </w:rPr>
        <w:t>5.</w:t>
      </w:r>
      <w:r>
        <w:t>3</w:t>
      </w:r>
      <w:bookmarkEnd w:id="91"/>
      <w:r>
        <w:rPr>
          <w:rFonts w:hint="eastAsia"/>
        </w:rPr>
        <w:t>反应堆紧急停堆功能相关系统要求</w:t>
      </w:r>
      <w:bookmarkEnd w:id="92"/>
      <w:bookmarkEnd w:id="93"/>
      <w:bookmarkEnd w:id="94"/>
      <w:bookmarkEnd w:id="95"/>
    </w:p>
    <w:p w14:paraId="4D9F7735" w14:textId="77777777" w:rsidR="008F6B68" w:rsidRDefault="00000000">
      <w:pPr>
        <w:pStyle w:val="aff9"/>
        <w:rPr>
          <w:szCs w:val="21"/>
        </w:rPr>
      </w:pPr>
      <w:r>
        <w:rPr>
          <w:rFonts w:hint="eastAsia"/>
        </w:rPr>
        <w:t>依据EJ/T 561-2000《压水堆核电厂安全停堆设计准则》的4.1基本安全设计总则，</w:t>
      </w:r>
      <w:r>
        <w:rPr>
          <w:rFonts w:hint="eastAsia"/>
          <w:szCs w:val="21"/>
        </w:rPr>
        <w:t>配合实施安全停堆功能的系统，其功能组合应满足以下要求：</w:t>
      </w:r>
    </w:p>
    <w:p w14:paraId="79AD0A36" w14:textId="77777777" w:rsidR="008F6B68" w:rsidRDefault="00000000">
      <w:pPr>
        <w:pStyle w:val="aff9"/>
        <w:numPr>
          <w:ilvl w:val="0"/>
          <w:numId w:val="21"/>
        </w:numPr>
        <w:tabs>
          <w:tab w:val="clear" w:pos="420"/>
          <w:tab w:val="clear" w:pos="4201"/>
        </w:tabs>
        <w:ind w:left="840" w:firstLine="420"/>
        <w:rPr>
          <w:szCs w:val="21"/>
        </w:rPr>
      </w:pPr>
      <w:r>
        <w:rPr>
          <w:rFonts w:hint="eastAsia"/>
          <w:szCs w:val="21"/>
        </w:rPr>
        <w:t>使反应堆处于次临界，并保持在次临界状态，其停堆深度达到技术规格书规定的限值。</w:t>
      </w:r>
    </w:p>
    <w:p w14:paraId="7E6DB146" w14:textId="77777777" w:rsidR="008F6B68" w:rsidRDefault="00000000">
      <w:pPr>
        <w:pStyle w:val="aff9"/>
        <w:numPr>
          <w:ilvl w:val="0"/>
          <w:numId w:val="21"/>
        </w:numPr>
        <w:tabs>
          <w:tab w:val="clear" w:pos="420"/>
          <w:tab w:val="clear" w:pos="4201"/>
        </w:tabs>
        <w:ind w:left="840" w:firstLine="420"/>
        <w:rPr>
          <w:szCs w:val="21"/>
        </w:rPr>
      </w:pPr>
      <w:r>
        <w:rPr>
          <w:rFonts w:hint="eastAsia"/>
          <w:szCs w:val="21"/>
        </w:rPr>
        <w:t>能以可控的并与设计温度限值相协调的速率排出余热。</w:t>
      </w:r>
    </w:p>
    <w:p w14:paraId="5136CDC7" w14:textId="77777777" w:rsidR="008F6B68" w:rsidRDefault="00000000">
      <w:pPr>
        <w:pStyle w:val="aff9"/>
        <w:numPr>
          <w:ilvl w:val="0"/>
          <w:numId w:val="21"/>
        </w:numPr>
        <w:tabs>
          <w:tab w:val="clear" w:pos="420"/>
          <w:tab w:val="clear" w:pos="4201"/>
        </w:tabs>
        <w:ind w:left="840" w:firstLine="420"/>
        <w:rPr>
          <w:szCs w:val="21"/>
        </w:rPr>
      </w:pPr>
      <w:r>
        <w:rPr>
          <w:rFonts w:hint="eastAsia"/>
          <w:szCs w:val="21"/>
        </w:rPr>
        <w:lastRenderedPageBreak/>
        <w:t>保持反应堆冷却剂压力、温度、水装量和冷却速率在设计限值内，以保持反应堆冷却剂系统压力边界的完整性。</w:t>
      </w:r>
    </w:p>
    <w:p w14:paraId="3E81352B" w14:textId="77777777" w:rsidR="008F6B68" w:rsidRDefault="00000000">
      <w:pPr>
        <w:pStyle w:val="aff9"/>
        <w:numPr>
          <w:ilvl w:val="0"/>
          <w:numId w:val="21"/>
        </w:numPr>
        <w:tabs>
          <w:tab w:val="clear" w:pos="420"/>
          <w:tab w:val="clear" w:pos="4201"/>
        </w:tabs>
        <w:ind w:left="840" w:firstLine="420"/>
        <w:rPr>
          <w:szCs w:val="21"/>
        </w:rPr>
      </w:pPr>
      <w:r>
        <w:rPr>
          <w:rFonts w:hint="eastAsia"/>
          <w:szCs w:val="21"/>
        </w:rPr>
        <w:t>必须使构筑物、系统和设备在其设计限值和运行限制范围内运行。</w:t>
      </w:r>
    </w:p>
    <w:p w14:paraId="7DE17F58" w14:textId="77777777" w:rsidR="008F6B68" w:rsidRDefault="00000000">
      <w:pPr>
        <w:pStyle w:val="aff9"/>
        <w:numPr>
          <w:ilvl w:val="0"/>
          <w:numId w:val="21"/>
        </w:numPr>
        <w:tabs>
          <w:tab w:val="clear" w:pos="420"/>
          <w:tab w:val="clear" w:pos="4201"/>
        </w:tabs>
        <w:ind w:left="840" w:firstLine="420"/>
        <w:rPr>
          <w:szCs w:val="21"/>
        </w:rPr>
      </w:pPr>
      <w:r>
        <w:rPr>
          <w:rFonts w:hint="eastAsia"/>
          <w:szCs w:val="21"/>
        </w:rPr>
        <w:t>必须保持堆芯、反应堆冷却剂系统和安全壳内的放射性水平和放射性物质向厂内和环境的释放在核安全法规规定的限值内。</w:t>
      </w:r>
    </w:p>
    <w:p w14:paraId="4EDF532C" w14:textId="77777777" w:rsidR="008F6B68" w:rsidRDefault="00000000">
      <w:pPr>
        <w:pStyle w:val="aff9"/>
        <w:numPr>
          <w:ilvl w:val="0"/>
          <w:numId w:val="21"/>
        </w:numPr>
        <w:tabs>
          <w:tab w:val="clear" w:pos="420"/>
          <w:tab w:val="clear" w:pos="4201"/>
        </w:tabs>
        <w:ind w:left="840" w:firstLine="420"/>
        <w:rPr>
          <w:szCs w:val="21"/>
        </w:rPr>
      </w:pPr>
      <w:r>
        <w:rPr>
          <w:rFonts w:hint="eastAsia"/>
          <w:szCs w:val="21"/>
        </w:rPr>
        <w:t>安全停堆冷却的设计基准温度必须是电厂进入正常冷停堆状态的反应堆冷却剂温度，并与技术规格书的规定相一致。</w:t>
      </w:r>
    </w:p>
    <w:p w14:paraId="688690BB" w14:textId="77777777" w:rsidR="008F6B68" w:rsidRDefault="00000000">
      <w:pPr>
        <w:pStyle w:val="aff9"/>
        <w:numPr>
          <w:ilvl w:val="0"/>
          <w:numId w:val="21"/>
        </w:numPr>
        <w:tabs>
          <w:tab w:val="clear" w:pos="420"/>
          <w:tab w:val="clear" w:pos="4201"/>
        </w:tabs>
        <w:ind w:left="840" w:firstLine="420"/>
        <w:rPr>
          <w:szCs w:val="21"/>
        </w:rPr>
      </w:pPr>
      <w:r>
        <w:rPr>
          <w:rFonts w:hint="eastAsia"/>
          <w:szCs w:val="21"/>
        </w:rPr>
        <w:t>安全停堆系统必须能使反应堆冷却剂温度保持在正常冷停堆设计基准冷却温度或低于该温度。</w:t>
      </w:r>
    </w:p>
    <w:p w14:paraId="0D6B364B" w14:textId="77777777" w:rsidR="008F6B68" w:rsidRDefault="00000000">
      <w:pPr>
        <w:pStyle w:val="afff5"/>
      </w:pPr>
      <w:bookmarkStart w:id="96" w:name="_Toc142042982"/>
      <w:bookmarkStart w:id="97" w:name="_Toc8451"/>
      <w:bookmarkStart w:id="98" w:name="_Toc3116"/>
      <w:bookmarkStart w:id="99" w:name="_Toc22421"/>
      <w:bookmarkStart w:id="100" w:name="_Toc20295"/>
      <w:r>
        <w:rPr>
          <w:rFonts w:hint="eastAsia"/>
        </w:rPr>
        <w:t>5.</w:t>
      </w:r>
      <w:r>
        <w:t>4</w:t>
      </w:r>
      <w:bookmarkEnd w:id="96"/>
      <w:r>
        <w:rPr>
          <w:rFonts w:hint="eastAsia"/>
        </w:rPr>
        <w:t>达到安全停堆状态必须的系统功能</w:t>
      </w:r>
      <w:bookmarkEnd w:id="97"/>
      <w:bookmarkEnd w:id="98"/>
      <w:bookmarkEnd w:id="99"/>
      <w:bookmarkEnd w:id="100"/>
    </w:p>
    <w:p w14:paraId="650EA559" w14:textId="77777777" w:rsidR="008F6B68" w:rsidRDefault="00000000">
      <w:pPr>
        <w:pStyle w:val="aff9"/>
        <w:rPr>
          <w:szCs w:val="21"/>
        </w:rPr>
      </w:pPr>
      <w:r>
        <w:rPr>
          <w:rFonts w:hint="eastAsia"/>
          <w:szCs w:val="21"/>
        </w:rPr>
        <w:t>安全停堆状态的特征为堆芯次临界，堆芯余热可长期持续导出，放射性释放量可接受。对于M310系列机组、EPR系列机组、华龙一号系列机组，为达到安全停堆状态，所需的具体功能包括以下六个方面：</w:t>
      </w:r>
      <w:r>
        <w:rPr>
          <w:rFonts w:hint="eastAsia"/>
          <w:szCs w:val="21"/>
          <w:lang w:bidi="ar"/>
        </w:rPr>
        <w:t>次临界度、余热导出、一回路水装量、二回路水装量、SG完整性、安全壳完整性</w:t>
      </w:r>
      <w:r>
        <w:rPr>
          <w:rFonts w:hint="eastAsia"/>
          <w:szCs w:val="21"/>
        </w:rPr>
        <w:t>。对于AP1000系列机组，具体体现在六大停堆关键安全功能中：次临界-S、堆芯冷却-C、热阱-H、完整性-P、安全壳-Z、水装量-I。</w:t>
      </w:r>
    </w:p>
    <w:p w14:paraId="7DEA39D2" w14:textId="77777777" w:rsidR="008F6B68" w:rsidRDefault="00000000">
      <w:pPr>
        <w:pStyle w:val="aff9"/>
        <w:rPr>
          <w:szCs w:val="21"/>
        </w:rPr>
      </w:pPr>
      <w:r>
        <w:rPr>
          <w:rFonts w:hint="eastAsia"/>
          <w:szCs w:val="21"/>
        </w:rPr>
        <w:t>发生事故后将电厂带到安全停堆状态所需的手动功能如表1所示，为满足表1功能操作相关所需的监测参数如表2所示。</w:t>
      </w:r>
    </w:p>
    <w:p w14:paraId="1DB91C1C" w14:textId="77777777" w:rsidR="008F6B68" w:rsidRDefault="008F6B68">
      <w:pPr>
        <w:pStyle w:val="aff9"/>
        <w:rPr>
          <w:szCs w:val="21"/>
        </w:rPr>
      </w:pPr>
    </w:p>
    <w:p w14:paraId="61782A86" w14:textId="77777777" w:rsidR="008F6B68" w:rsidRDefault="00000000">
      <w:pPr>
        <w:pStyle w:val="aff9"/>
        <w:jc w:val="center"/>
        <w:rPr>
          <w:szCs w:val="21"/>
        </w:rPr>
      </w:pPr>
      <w:bookmarkStart w:id="101" w:name="_TOC_250001"/>
      <w:r>
        <w:rPr>
          <w:rFonts w:hint="eastAsia"/>
          <w:szCs w:val="21"/>
        </w:rPr>
        <w:t>表1 达到安全停堆状态的手动功</w:t>
      </w:r>
      <w:bookmarkEnd w:id="101"/>
      <w:r>
        <w:rPr>
          <w:rFonts w:hint="eastAsia"/>
          <w:szCs w:val="21"/>
        </w:rPr>
        <w:t>能</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71"/>
        <w:gridCol w:w="7244"/>
      </w:tblGrid>
      <w:tr w:rsidR="008F6B68" w14:paraId="6E4D49E8" w14:textId="77777777">
        <w:trPr>
          <w:trHeight w:val="90"/>
          <w:jc w:val="center"/>
        </w:trPr>
        <w:tc>
          <w:tcPr>
            <w:tcW w:w="8415" w:type="dxa"/>
            <w:gridSpan w:val="2"/>
            <w:vAlign w:val="center"/>
          </w:tcPr>
          <w:p w14:paraId="5A04340A" w14:textId="77777777" w:rsidR="008F6B68" w:rsidRDefault="00000000">
            <w:pPr>
              <w:pStyle w:val="aff9"/>
              <w:ind w:firstLineChars="0" w:firstLine="0"/>
              <w:jc w:val="center"/>
              <w:rPr>
                <w:szCs w:val="21"/>
              </w:rPr>
            </w:pPr>
            <w:r>
              <w:rPr>
                <w:rFonts w:hint="eastAsia"/>
                <w:szCs w:val="21"/>
              </w:rPr>
              <w:t>适用于M310系列机组</w:t>
            </w:r>
          </w:p>
        </w:tc>
      </w:tr>
      <w:tr w:rsidR="008F6B68" w14:paraId="4FECF89F" w14:textId="77777777">
        <w:trPr>
          <w:trHeight w:val="90"/>
          <w:jc w:val="center"/>
        </w:trPr>
        <w:tc>
          <w:tcPr>
            <w:tcW w:w="1171" w:type="dxa"/>
            <w:vAlign w:val="center"/>
          </w:tcPr>
          <w:p w14:paraId="2619472A" w14:textId="77777777" w:rsidR="008F6B68" w:rsidRDefault="00000000">
            <w:pPr>
              <w:pStyle w:val="aff9"/>
              <w:ind w:firstLineChars="0" w:firstLine="0"/>
              <w:jc w:val="center"/>
              <w:rPr>
                <w:szCs w:val="21"/>
              </w:rPr>
            </w:pPr>
            <w:r>
              <w:rPr>
                <w:rFonts w:hint="eastAsia"/>
                <w:szCs w:val="21"/>
              </w:rPr>
              <w:t>系统或设备</w:t>
            </w:r>
          </w:p>
        </w:tc>
        <w:tc>
          <w:tcPr>
            <w:tcW w:w="7244" w:type="dxa"/>
            <w:vAlign w:val="center"/>
          </w:tcPr>
          <w:p w14:paraId="32CBCFBB" w14:textId="77777777" w:rsidR="008F6B68" w:rsidRDefault="00000000">
            <w:pPr>
              <w:pStyle w:val="aff9"/>
              <w:ind w:firstLineChars="0" w:firstLine="0"/>
              <w:jc w:val="center"/>
              <w:rPr>
                <w:szCs w:val="21"/>
              </w:rPr>
            </w:pPr>
            <w:r>
              <w:rPr>
                <w:rFonts w:hint="eastAsia"/>
                <w:szCs w:val="21"/>
              </w:rPr>
              <w:t>功能</w:t>
            </w:r>
          </w:p>
        </w:tc>
      </w:tr>
      <w:tr w:rsidR="008F6B68" w14:paraId="5EA1F2B3" w14:textId="77777777">
        <w:trPr>
          <w:trHeight w:val="90"/>
          <w:jc w:val="center"/>
        </w:trPr>
        <w:tc>
          <w:tcPr>
            <w:tcW w:w="1171" w:type="dxa"/>
            <w:vAlign w:val="center"/>
          </w:tcPr>
          <w:p w14:paraId="510AD4BC" w14:textId="77777777" w:rsidR="008F6B68" w:rsidRDefault="00000000">
            <w:pPr>
              <w:pStyle w:val="aff9"/>
              <w:ind w:firstLineChars="0" w:firstLine="0"/>
              <w:jc w:val="center"/>
              <w:rPr>
                <w:szCs w:val="21"/>
              </w:rPr>
            </w:pPr>
            <w:r>
              <w:rPr>
                <w:rFonts w:hint="eastAsia"/>
                <w:szCs w:val="21"/>
              </w:rPr>
              <w:t>RPR/GSE</w:t>
            </w:r>
          </w:p>
        </w:tc>
        <w:tc>
          <w:tcPr>
            <w:tcW w:w="7244" w:type="dxa"/>
            <w:vAlign w:val="center"/>
          </w:tcPr>
          <w:p w14:paraId="27901C7F" w14:textId="77777777" w:rsidR="008F6B68" w:rsidRDefault="00000000">
            <w:pPr>
              <w:pStyle w:val="aff9"/>
              <w:ind w:firstLineChars="0" w:firstLine="0"/>
              <w:jc w:val="left"/>
              <w:rPr>
                <w:szCs w:val="21"/>
              </w:rPr>
            </w:pPr>
            <w:r>
              <w:rPr>
                <w:rFonts w:hint="eastAsia"/>
                <w:szCs w:val="21"/>
              </w:rPr>
              <w:t>反应堆紧急停堆、汽轮机停机</w:t>
            </w:r>
          </w:p>
        </w:tc>
      </w:tr>
      <w:tr w:rsidR="008F6B68" w14:paraId="56CEC7AD" w14:textId="77777777">
        <w:trPr>
          <w:trHeight w:val="90"/>
          <w:jc w:val="center"/>
        </w:trPr>
        <w:tc>
          <w:tcPr>
            <w:tcW w:w="1171" w:type="dxa"/>
            <w:vAlign w:val="center"/>
          </w:tcPr>
          <w:p w14:paraId="05E8B092" w14:textId="77777777" w:rsidR="008F6B68" w:rsidRDefault="00000000">
            <w:pPr>
              <w:pStyle w:val="aff9"/>
              <w:ind w:firstLineChars="0" w:firstLine="0"/>
              <w:jc w:val="center"/>
              <w:rPr>
                <w:szCs w:val="21"/>
              </w:rPr>
            </w:pPr>
            <w:r>
              <w:rPr>
                <w:rFonts w:hint="eastAsia"/>
                <w:szCs w:val="21"/>
              </w:rPr>
              <w:t>RIS</w:t>
            </w:r>
          </w:p>
        </w:tc>
        <w:tc>
          <w:tcPr>
            <w:tcW w:w="7244" w:type="dxa"/>
            <w:vAlign w:val="center"/>
          </w:tcPr>
          <w:p w14:paraId="4ACA87F6" w14:textId="77777777" w:rsidR="008F6B68" w:rsidRDefault="00000000">
            <w:pPr>
              <w:pStyle w:val="aff9"/>
              <w:ind w:firstLineChars="0" w:firstLine="0"/>
              <w:jc w:val="left"/>
              <w:rPr>
                <w:szCs w:val="21"/>
              </w:rPr>
            </w:pPr>
            <w:r>
              <w:rPr>
                <w:rFonts w:hint="eastAsia"/>
                <w:szCs w:val="21"/>
              </w:rPr>
              <w:t>启动/复位、高低压安注泵停运、安注箱隔离、浓硼注入箱隔离、安注再循环投运/隔离、冷热段同时注入切换、安注转上充</w:t>
            </w:r>
          </w:p>
        </w:tc>
      </w:tr>
      <w:tr w:rsidR="008F6B68" w14:paraId="0E624D71" w14:textId="77777777">
        <w:trPr>
          <w:trHeight w:val="90"/>
          <w:jc w:val="center"/>
        </w:trPr>
        <w:tc>
          <w:tcPr>
            <w:tcW w:w="1171" w:type="dxa"/>
            <w:vAlign w:val="center"/>
          </w:tcPr>
          <w:p w14:paraId="55CF137C" w14:textId="77777777" w:rsidR="008F6B68" w:rsidRDefault="00000000">
            <w:pPr>
              <w:pStyle w:val="aff9"/>
              <w:ind w:firstLineChars="0" w:firstLine="0"/>
              <w:jc w:val="center"/>
              <w:rPr>
                <w:szCs w:val="21"/>
              </w:rPr>
            </w:pPr>
            <w:r>
              <w:rPr>
                <w:rFonts w:hint="eastAsia"/>
                <w:szCs w:val="21"/>
              </w:rPr>
              <w:t>ARE</w:t>
            </w:r>
          </w:p>
        </w:tc>
        <w:tc>
          <w:tcPr>
            <w:tcW w:w="7244" w:type="dxa"/>
            <w:vAlign w:val="center"/>
          </w:tcPr>
          <w:p w14:paraId="042B5B82" w14:textId="77777777" w:rsidR="008F6B68" w:rsidRDefault="00000000">
            <w:pPr>
              <w:pStyle w:val="aff9"/>
              <w:ind w:firstLineChars="0" w:firstLine="0"/>
              <w:jc w:val="left"/>
              <w:rPr>
                <w:szCs w:val="21"/>
              </w:rPr>
            </w:pPr>
            <w:r>
              <w:rPr>
                <w:rFonts w:hint="eastAsia"/>
                <w:szCs w:val="21"/>
              </w:rPr>
              <w:t>管线隔离、给水泵停运</w:t>
            </w:r>
          </w:p>
        </w:tc>
      </w:tr>
      <w:tr w:rsidR="008F6B68" w14:paraId="5E42DAC5" w14:textId="77777777">
        <w:trPr>
          <w:trHeight w:val="90"/>
          <w:jc w:val="center"/>
        </w:trPr>
        <w:tc>
          <w:tcPr>
            <w:tcW w:w="1171" w:type="dxa"/>
            <w:vAlign w:val="center"/>
          </w:tcPr>
          <w:p w14:paraId="6C4198E7" w14:textId="77777777" w:rsidR="008F6B68" w:rsidRDefault="00000000">
            <w:pPr>
              <w:pStyle w:val="aff9"/>
              <w:ind w:firstLineChars="0" w:firstLine="0"/>
              <w:jc w:val="center"/>
              <w:rPr>
                <w:szCs w:val="21"/>
              </w:rPr>
            </w:pPr>
            <w:r>
              <w:rPr>
                <w:rFonts w:hint="eastAsia"/>
                <w:szCs w:val="21"/>
              </w:rPr>
              <w:t>VVP</w:t>
            </w:r>
          </w:p>
        </w:tc>
        <w:tc>
          <w:tcPr>
            <w:tcW w:w="7244" w:type="dxa"/>
            <w:vAlign w:val="center"/>
          </w:tcPr>
          <w:p w14:paraId="2B93C03E" w14:textId="77777777" w:rsidR="008F6B68" w:rsidRDefault="00000000">
            <w:pPr>
              <w:pStyle w:val="aff9"/>
              <w:ind w:firstLineChars="0" w:firstLine="0"/>
              <w:jc w:val="left"/>
              <w:rPr>
                <w:szCs w:val="21"/>
              </w:rPr>
            </w:pPr>
            <w:r>
              <w:rPr>
                <w:rFonts w:hint="eastAsia"/>
                <w:szCs w:val="21"/>
              </w:rPr>
              <w:t>主蒸汽管道隔离</w:t>
            </w:r>
          </w:p>
        </w:tc>
      </w:tr>
      <w:tr w:rsidR="008F6B68" w14:paraId="5E633F76" w14:textId="77777777">
        <w:trPr>
          <w:trHeight w:val="90"/>
          <w:jc w:val="center"/>
        </w:trPr>
        <w:tc>
          <w:tcPr>
            <w:tcW w:w="1171" w:type="dxa"/>
            <w:vAlign w:val="center"/>
          </w:tcPr>
          <w:p w14:paraId="45CFA603" w14:textId="77777777" w:rsidR="008F6B68" w:rsidRDefault="00000000">
            <w:pPr>
              <w:pStyle w:val="aff9"/>
              <w:ind w:firstLineChars="0" w:firstLine="0"/>
              <w:jc w:val="center"/>
              <w:rPr>
                <w:szCs w:val="21"/>
              </w:rPr>
            </w:pPr>
            <w:r>
              <w:rPr>
                <w:rFonts w:hint="eastAsia"/>
                <w:szCs w:val="21"/>
              </w:rPr>
              <w:t>ASG</w:t>
            </w:r>
          </w:p>
        </w:tc>
        <w:tc>
          <w:tcPr>
            <w:tcW w:w="7244" w:type="dxa"/>
            <w:vAlign w:val="center"/>
          </w:tcPr>
          <w:p w14:paraId="4A2090E3" w14:textId="77777777" w:rsidR="008F6B68" w:rsidRDefault="00000000">
            <w:pPr>
              <w:pStyle w:val="aff9"/>
              <w:ind w:firstLineChars="0" w:firstLine="0"/>
              <w:jc w:val="left"/>
              <w:rPr>
                <w:szCs w:val="21"/>
              </w:rPr>
            </w:pPr>
            <w:r>
              <w:rPr>
                <w:rFonts w:hint="eastAsia"/>
                <w:szCs w:val="21"/>
              </w:rPr>
              <w:t>电动泵启动/停运、汽动泵启动/停运、流量调节、ASG水箱补水</w:t>
            </w:r>
          </w:p>
        </w:tc>
      </w:tr>
      <w:tr w:rsidR="008F6B68" w14:paraId="6FD7D18E" w14:textId="77777777">
        <w:trPr>
          <w:trHeight w:val="90"/>
          <w:jc w:val="center"/>
        </w:trPr>
        <w:tc>
          <w:tcPr>
            <w:tcW w:w="1171" w:type="dxa"/>
            <w:vAlign w:val="center"/>
          </w:tcPr>
          <w:p w14:paraId="20867A65" w14:textId="77777777" w:rsidR="008F6B68" w:rsidRDefault="00000000">
            <w:pPr>
              <w:pStyle w:val="aff9"/>
              <w:ind w:firstLineChars="0" w:firstLine="0"/>
              <w:jc w:val="center"/>
              <w:rPr>
                <w:szCs w:val="21"/>
              </w:rPr>
            </w:pPr>
            <w:r>
              <w:rPr>
                <w:rFonts w:hint="eastAsia"/>
                <w:szCs w:val="21"/>
              </w:rPr>
              <w:t>RCP</w:t>
            </w:r>
          </w:p>
        </w:tc>
        <w:tc>
          <w:tcPr>
            <w:tcW w:w="7244" w:type="dxa"/>
            <w:vAlign w:val="center"/>
          </w:tcPr>
          <w:p w14:paraId="62123713" w14:textId="77777777" w:rsidR="008F6B68" w:rsidRDefault="00000000">
            <w:pPr>
              <w:pStyle w:val="aff9"/>
              <w:ind w:firstLineChars="0" w:firstLine="0"/>
              <w:jc w:val="left"/>
              <w:rPr>
                <w:szCs w:val="21"/>
              </w:rPr>
            </w:pPr>
            <w:r>
              <w:rPr>
                <w:rFonts w:hint="eastAsia"/>
                <w:szCs w:val="21"/>
              </w:rPr>
              <w:t>正常喷淋投运/停运/流量调节、稳压器安全阀打开/关闭、稳压器加热器投运/停运、主泵停运</w:t>
            </w:r>
          </w:p>
        </w:tc>
      </w:tr>
      <w:tr w:rsidR="008F6B68" w14:paraId="4937D13C" w14:textId="77777777">
        <w:trPr>
          <w:trHeight w:val="90"/>
          <w:jc w:val="center"/>
        </w:trPr>
        <w:tc>
          <w:tcPr>
            <w:tcW w:w="1171" w:type="dxa"/>
            <w:vAlign w:val="center"/>
          </w:tcPr>
          <w:p w14:paraId="458F25E1" w14:textId="77777777" w:rsidR="008F6B68" w:rsidRDefault="00000000">
            <w:pPr>
              <w:pStyle w:val="aff9"/>
              <w:ind w:firstLineChars="0" w:firstLine="0"/>
              <w:jc w:val="center"/>
              <w:rPr>
                <w:szCs w:val="21"/>
              </w:rPr>
            </w:pPr>
            <w:r>
              <w:rPr>
                <w:rFonts w:hint="eastAsia"/>
                <w:szCs w:val="21"/>
              </w:rPr>
              <w:t>RCV</w:t>
            </w:r>
          </w:p>
        </w:tc>
        <w:tc>
          <w:tcPr>
            <w:tcW w:w="7244" w:type="dxa"/>
            <w:vAlign w:val="center"/>
          </w:tcPr>
          <w:p w14:paraId="1FACF4CB" w14:textId="77777777" w:rsidR="008F6B68" w:rsidRDefault="00000000">
            <w:pPr>
              <w:pStyle w:val="aff9"/>
              <w:ind w:firstLineChars="0" w:firstLine="0"/>
              <w:jc w:val="left"/>
              <w:rPr>
                <w:szCs w:val="21"/>
              </w:rPr>
            </w:pPr>
            <w:r>
              <w:rPr>
                <w:rFonts w:hint="eastAsia"/>
                <w:szCs w:val="21"/>
              </w:rPr>
              <w:t>上充投运/停运/流量调节、下泄投运/停运/流量调节、辅助喷淋投运/停运/流量调节、轴封注入流量调节、上充泵切换至PTR水箱</w:t>
            </w:r>
          </w:p>
        </w:tc>
      </w:tr>
      <w:tr w:rsidR="008F6B68" w14:paraId="518229A1" w14:textId="77777777">
        <w:trPr>
          <w:trHeight w:val="90"/>
          <w:jc w:val="center"/>
        </w:trPr>
        <w:tc>
          <w:tcPr>
            <w:tcW w:w="1171" w:type="dxa"/>
            <w:vAlign w:val="center"/>
          </w:tcPr>
          <w:p w14:paraId="7D62BB31" w14:textId="77777777" w:rsidR="008F6B68" w:rsidRDefault="00000000">
            <w:pPr>
              <w:pStyle w:val="aff9"/>
              <w:ind w:firstLineChars="0" w:firstLine="0"/>
              <w:jc w:val="center"/>
              <w:rPr>
                <w:szCs w:val="21"/>
              </w:rPr>
            </w:pPr>
            <w:r>
              <w:rPr>
                <w:rFonts w:hint="eastAsia"/>
                <w:szCs w:val="21"/>
              </w:rPr>
              <w:t>APG</w:t>
            </w:r>
          </w:p>
        </w:tc>
        <w:tc>
          <w:tcPr>
            <w:tcW w:w="7244" w:type="dxa"/>
            <w:vAlign w:val="center"/>
          </w:tcPr>
          <w:p w14:paraId="4FB4432E" w14:textId="77777777" w:rsidR="008F6B68" w:rsidRDefault="00000000">
            <w:pPr>
              <w:pStyle w:val="aff9"/>
              <w:ind w:firstLineChars="0" w:firstLine="0"/>
              <w:jc w:val="left"/>
              <w:rPr>
                <w:szCs w:val="21"/>
              </w:rPr>
            </w:pPr>
            <w:r>
              <w:rPr>
                <w:rFonts w:hint="eastAsia"/>
                <w:szCs w:val="21"/>
              </w:rPr>
              <w:t>投运/停运</w:t>
            </w:r>
          </w:p>
        </w:tc>
      </w:tr>
      <w:tr w:rsidR="008F6B68" w14:paraId="61A8C5B2" w14:textId="77777777">
        <w:trPr>
          <w:trHeight w:val="90"/>
          <w:jc w:val="center"/>
        </w:trPr>
        <w:tc>
          <w:tcPr>
            <w:tcW w:w="1171" w:type="dxa"/>
            <w:vAlign w:val="center"/>
          </w:tcPr>
          <w:p w14:paraId="0983F13D" w14:textId="77777777" w:rsidR="008F6B68" w:rsidRDefault="00000000">
            <w:pPr>
              <w:pStyle w:val="aff9"/>
              <w:ind w:firstLineChars="0" w:firstLine="0"/>
              <w:jc w:val="center"/>
              <w:rPr>
                <w:szCs w:val="21"/>
              </w:rPr>
            </w:pPr>
            <w:r>
              <w:rPr>
                <w:rFonts w:hint="eastAsia"/>
                <w:szCs w:val="21"/>
              </w:rPr>
              <w:t>EAS</w:t>
            </w:r>
          </w:p>
        </w:tc>
        <w:tc>
          <w:tcPr>
            <w:tcW w:w="7244" w:type="dxa"/>
            <w:vAlign w:val="center"/>
          </w:tcPr>
          <w:p w14:paraId="25CA6C48" w14:textId="77777777" w:rsidR="008F6B68" w:rsidRDefault="00000000">
            <w:pPr>
              <w:pStyle w:val="aff9"/>
              <w:ind w:firstLineChars="0" w:firstLine="0"/>
              <w:jc w:val="left"/>
              <w:rPr>
                <w:szCs w:val="21"/>
              </w:rPr>
            </w:pPr>
            <w:r>
              <w:rPr>
                <w:rFonts w:hint="eastAsia"/>
                <w:szCs w:val="21"/>
              </w:rPr>
              <w:t>直接喷淋投运/停运、再循环喷淋投运/停运</w:t>
            </w:r>
          </w:p>
        </w:tc>
      </w:tr>
      <w:tr w:rsidR="008F6B68" w14:paraId="3B03DC69" w14:textId="77777777">
        <w:trPr>
          <w:trHeight w:val="90"/>
          <w:jc w:val="center"/>
        </w:trPr>
        <w:tc>
          <w:tcPr>
            <w:tcW w:w="1171" w:type="dxa"/>
            <w:vAlign w:val="center"/>
          </w:tcPr>
          <w:p w14:paraId="22B518B4" w14:textId="77777777" w:rsidR="008F6B68" w:rsidRDefault="00000000">
            <w:pPr>
              <w:pStyle w:val="aff9"/>
              <w:ind w:firstLineChars="0" w:firstLine="0"/>
              <w:jc w:val="center"/>
              <w:rPr>
                <w:szCs w:val="21"/>
              </w:rPr>
            </w:pPr>
            <w:r>
              <w:rPr>
                <w:rFonts w:hint="eastAsia"/>
                <w:szCs w:val="21"/>
              </w:rPr>
              <w:t>EIE</w:t>
            </w:r>
          </w:p>
        </w:tc>
        <w:tc>
          <w:tcPr>
            <w:tcW w:w="7244" w:type="dxa"/>
            <w:vAlign w:val="center"/>
          </w:tcPr>
          <w:p w14:paraId="18817F78" w14:textId="77777777" w:rsidR="008F6B68" w:rsidRDefault="00000000">
            <w:pPr>
              <w:pStyle w:val="aff9"/>
              <w:ind w:firstLineChars="0" w:firstLine="0"/>
              <w:jc w:val="left"/>
              <w:rPr>
                <w:szCs w:val="21"/>
              </w:rPr>
            </w:pPr>
            <w:r>
              <w:rPr>
                <w:rFonts w:hint="eastAsia"/>
                <w:szCs w:val="21"/>
              </w:rPr>
              <w:t>安全壳A阶段隔离/复位、安全壳B阶段隔离/复位</w:t>
            </w:r>
          </w:p>
        </w:tc>
      </w:tr>
      <w:tr w:rsidR="008F6B68" w14:paraId="3D57A1EF" w14:textId="77777777">
        <w:trPr>
          <w:trHeight w:val="90"/>
          <w:jc w:val="center"/>
        </w:trPr>
        <w:tc>
          <w:tcPr>
            <w:tcW w:w="1171" w:type="dxa"/>
            <w:vAlign w:val="center"/>
          </w:tcPr>
          <w:p w14:paraId="1E2B7C5E" w14:textId="77777777" w:rsidR="008F6B68" w:rsidRDefault="00000000">
            <w:pPr>
              <w:pStyle w:val="aff9"/>
              <w:ind w:firstLineChars="0" w:firstLine="0"/>
              <w:jc w:val="center"/>
              <w:rPr>
                <w:szCs w:val="21"/>
              </w:rPr>
            </w:pPr>
            <w:r>
              <w:rPr>
                <w:rFonts w:hint="eastAsia"/>
                <w:szCs w:val="21"/>
              </w:rPr>
              <w:t>GCT-a</w:t>
            </w:r>
          </w:p>
        </w:tc>
        <w:tc>
          <w:tcPr>
            <w:tcW w:w="7244" w:type="dxa"/>
            <w:vAlign w:val="center"/>
          </w:tcPr>
          <w:p w14:paraId="054EDBEC" w14:textId="77777777" w:rsidR="008F6B68" w:rsidRDefault="00000000">
            <w:pPr>
              <w:pStyle w:val="aff9"/>
              <w:ind w:firstLineChars="0" w:firstLine="0"/>
              <w:jc w:val="left"/>
              <w:rPr>
                <w:szCs w:val="21"/>
              </w:rPr>
            </w:pPr>
            <w:r>
              <w:rPr>
                <w:rFonts w:hint="eastAsia"/>
                <w:szCs w:val="21"/>
              </w:rPr>
              <w:t>阀门开度调节</w:t>
            </w:r>
          </w:p>
        </w:tc>
      </w:tr>
      <w:tr w:rsidR="008F6B68" w14:paraId="5E6AC151" w14:textId="77777777">
        <w:trPr>
          <w:trHeight w:val="90"/>
          <w:jc w:val="center"/>
        </w:trPr>
        <w:tc>
          <w:tcPr>
            <w:tcW w:w="1171" w:type="dxa"/>
            <w:vAlign w:val="center"/>
          </w:tcPr>
          <w:p w14:paraId="65EC2650" w14:textId="77777777" w:rsidR="008F6B68" w:rsidRDefault="00000000">
            <w:pPr>
              <w:pStyle w:val="aff9"/>
              <w:ind w:firstLineChars="0" w:firstLine="0"/>
              <w:jc w:val="center"/>
              <w:rPr>
                <w:szCs w:val="21"/>
              </w:rPr>
            </w:pPr>
            <w:r>
              <w:rPr>
                <w:rFonts w:hint="eastAsia"/>
                <w:szCs w:val="21"/>
              </w:rPr>
              <w:t>REA</w:t>
            </w:r>
          </w:p>
        </w:tc>
        <w:tc>
          <w:tcPr>
            <w:tcW w:w="7244" w:type="dxa"/>
            <w:vAlign w:val="center"/>
          </w:tcPr>
          <w:p w14:paraId="2F86B8C2" w14:textId="77777777" w:rsidR="008F6B68" w:rsidRDefault="00000000">
            <w:pPr>
              <w:pStyle w:val="aff9"/>
              <w:ind w:firstLineChars="0" w:firstLine="0"/>
              <w:jc w:val="left"/>
              <w:rPr>
                <w:szCs w:val="21"/>
              </w:rPr>
            </w:pPr>
            <w:r>
              <w:rPr>
                <w:rFonts w:hint="eastAsia"/>
                <w:szCs w:val="21"/>
              </w:rPr>
              <w:t>硼化投运/停运</w:t>
            </w:r>
          </w:p>
        </w:tc>
      </w:tr>
      <w:tr w:rsidR="008F6B68" w14:paraId="2E78D113" w14:textId="77777777">
        <w:trPr>
          <w:trHeight w:val="90"/>
          <w:jc w:val="center"/>
        </w:trPr>
        <w:tc>
          <w:tcPr>
            <w:tcW w:w="1171" w:type="dxa"/>
            <w:vAlign w:val="center"/>
          </w:tcPr>
          <w:p w14:paraId="40872E45" w14:textId="77777777" w:rsidR="008F6B68" w:rsidRDefault="00000000">
            <w:pPr>
              <w:pStyle w:val="aff9"/>
              <w:ind w:firstLineChars="0" w:firstLine="0"/>
              <w:jc w:val="center"/>
              <w:rPr>
                <w:szCs w:val="21"/>
              </w:rPr>
            </w:pPr>
            <w:r>
              <w:rPr>
                <w:rFonts w:hint="eastAsia"/>
                <w:szCs w:val="21"/>
              </w:rPr>
              <w:t>SEC/RRI</w:t>
            </w:r>
          </w:p>
        </w:tc>
        <w:tc>
          <w:tcPr>
            <w:tcW w:w="7244" w:type="dxa"/>
            <w:vAlign w:val="center"/>
          </w:tcPr>
          <w:p w14:paraId="1D06F1D9" w14:textId="77777777" w:rsidR="008F6B68" w:rsidRDefault="00000000">
            <w:pPr>
              <w:pStyle w:val="aff9"/>
              <w:ind w:firstLineChars="0" w:firstLine="0"/>
              <w:jc w:val="left"/>
              <w:rPr>
                <w:szCs w:val="21"/>
              </w:rPr>
            </w:pPr>
            <w:r>
              <w:rPr>
                <w:rFonts w:hint="eastAsia"/>
                <w:szCs w:val="21"/>
              </w:rPr>
              <w:t>投运/停运</w:t>
            </w:r>
          </w:p>
        </w:tc>
      </w:tr>
      <w:tr w:rsidR="008F6B68" w14:paraId="7298FE20" w14:textId="77777777">
        <w:trPr>
          <w:trHeight w:val="90"/>
          <w:jc w:val="center"/>
        </w:trPr>
        <w:tc>
          <w:tcPr>
            <w:tcW w:w="1171" w:type="dxa"/>
            <w:vAlign w:val="center"/>
          </w:tcPr>
          <w:p w14:paraId="6BF98511" w14:textId="77777777" w:rsidR="008F6B68" w:rsidRDefault="00000000">
            <w:pPr>
              <w:pStyle w:val="aff9"/>
              <w:ind w:firstLineChars="0" w:firstLine="0"/>
              <w:jc w:val="center"/>
              <w:rPr>
                <w:szCs w:val="21"/>
              </w:rPr>
            </w:pPr>
            <w:r>
              <w:rPr>
                <w:rFonts w:hint="eastAsia"/>
                <w:szCs w:val="21"/>
              </w:rPr>
              <w:lastRenderedPageBreak/>
              <w:t>RRA</w:t>
            </w:r>
          </w:p>
        </w:tc>
        <w:tc>
          <w:tcPr>
            <w:tcW w:w="7244" w:type="dxa"/>
            <w:vAlign w:val="center"/>
          </w:tcPr>
          <w:p w14:paraId="5E72BBBC" w14:textId="77777777" w:rsidR="008F6B68" w:rsidRDefault="00000000">
            <w:pPr>
              <w:pStyle w:val="aff9"/>
              <w:ind w:firstLineChars="0" w:firstLine="0"/>
              <w:jc w:val="left"/>
              <w:rPr>
                <w:szCs w:val="21"/>
              </w:rPr>
            </w:pPr>
            <w:r>
              <w:rPr>
                <w:rFonts w:hint="eastAsia"/>
                <w:szCs w:val="21"/>
              </w:rPr>
              <w:t>投运/停运、RRA流量调节</w:t>
            </w:r>
          </w:p>
        </w:tc>
      </w:tr>
      <w:tr w:rsidR="008F6B68" w14:paraId="4E51B56E" w14:textId="77777777">
        <w:trPr>
          <w:trHeight w:val="90"/>
          <w:jc w:val="center"/>
        </w:trPr>
        <w:tc>
          <w:tcPr>
            <w:tcW w:w="1171" w:type="dxa"/>
            <w:vAlign w:val="center"/>
          </w:tcPr>
          <w:p w14:paraId="725A01DD" w14:textId="77777777" w:rsidR="008F6B68" w:rsidRDefault="00000000">
            <w:pPr>
              <w:pStyle w:val="aff9"/>
              <w:ind w:firstLineChars="0" w:firstLine="0"/>
              <w:jc w:val="center"/>
              <w:rPr>
                <w:szCs w:val="21"/>
              </w:rPr>
            </w:pPr>
            <w:r>
              <w:rPr>
                <w:rFonts w:hint="eastAsia"/>
                <w:szCs w:val="21"/>
              </w:rPr>
              <w:t>EDG</w:t>
            </w:r>
          </w:p>
        </w:tc>
        <w:tc>
          <w:tcPr>
            <w:tcW w:w="7244" w:type="dxa"/>
            <w:vAlign w:val="center"/>
          </w:tcPr>
          <w:p w14:paraId="02067F63" w14:textId="77777777" w:rsidR="008F6B68" w:rsidRDefault="00000000">
            <w:pPr>
              <w:pStyle w:val="aff9"/>
              <w:ind w:firstLineChars="0" w:firstLine="0"/>
              <w:jc w:val="left"/>
              <w:rPr>
                <w:szCs w:val="21"/>
              </w:rPr>
            </w:pPr>
            <w:r>
              <w:rPr>
                <w:rFonts w:hint="eastAsia"/>
                <w:szCs w:val="21"/>
              </w:rPr>
              <w:t>启动、卸/加载</w:t>
            </w:r>
          </w:p>
        </w:tc>
      </w:tr>
    </w:tbl>
    <w:p w14:paraId="2FAA2D35" w14:textId="77777777" w:rsidR="008F6B68" w:rsidRDefault="008F6B68">
      <w:pPr>
        <w:pStyle w:val="aff9"/>
        <w:ind w:firstLineChars="0" w:firstLine="0"/>
        <w:jc w:val="center"/>
        <w:rPr>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71"/>
        <w:gridCol w:w="7244"/>
      </w:tblGrid>
      <w:tr w:rsidR="008F6B68" w14:paraId="28D8F270" w14:textId="77777777">
        <w:trPr>
          <w:trHeight w:val="90"/>
          <w:jc w:val="center"/>
        </w:trPr>
        <w:tc>
          <w:tcPr>
            <w:tcW w:w="8415" w:type="dxa"/>
            <w:gridSpan w:val="2"/>
            <w:vAlign w:val="center"/>
          </w:tcPr>
          <w:p w14:paraId="2E95187B" w14:textId="77777777" w:rsidR="008F6B68" w:rsidRDefault="00000000">
            <w:pPr>
              <w:pStyle w:val="aff9"/>
              <w:ind w:firstLineChars="0" w:firstLine="0"/>
              <w:jc w:val="center"/>
              <w:rPr>
                <w:rFonts w:hAnsi="宋体" w:cs="宋体" w:hint="eastAsia"/>
                <w:szCs w:val="21"/>
              </w:rPr>
            </w:pPr>
            <w:r>
              <w:rPr>
                <w:rFonts w:hAnsi="宋体" w:cs="宋体" w:hint="eastAsia"/>
                <w:szCs w:val="21"/>
              </w:rPr>
              <w:t>适用于华龙一号系列机组</w:t>
            </w:r>
          </w:p>
        </w:tc>
      </w:tr>
      <w:tr w:rsidR="008F6B68" w14:paraId="753A0818" w14:textId="77777777">
        <w:trPr>
          <w:trHeight w:val="90"/>
          <w:jc w:val="center"/>
        </w:trPr>
        <w:tc>
          <w:tcPr>
            <w:tcW w:w="1171" w:type="dxa"/>
            <w:vAlign w:val="center"/>
          </w:tcPr>
          <w:p w14:paraId="25D97EAB" w14:textId="77777777" w:rsidR="008F6B68" w:rsidRDefault="00000000">
            <w:pPr>
              <w:pStyle w:val="aff9"/>
              <w:ind w:firstLineChars="0" w:firstLine="0"/>
              <w:jc w:val="center"/>
              <w:rPr>
                <w:rFonts w:hAnsi="宋体" w:cs="宋体" w:hint="eastAsia"/>
                <w:szCs w:val="21"/>
              </w:rPr>
            </w:pPr>
            <w:r>
              <w:rPr>
                <w:rFonts w:hAnsi="宋体" w:cs="宋体" w:hint="eastAsia"/>
                <w:szCs w:val="21"/>
              </w:rPr>
              <w:t>系统或设备</w:t>
            </w:r>
          </w:p>
        </w:tc>
        <w:tc>
          <w:tcPr>
            <w:tcW w:w="7244" w:type="dxa"/>
            <w:vAlign w:val="center"/>
          </w:tcPr>
          <w:p w14:paraId="23DD20A4" w14:textId="77777777" w:rsidR="008F6B68" w:rsidRDefault="00000000">
            <w:pPr>
              <w:pStyle w:val="aff9"/>
              <w:ind w:firstLineChars="0" w:firstLine="0"/>
              <w:jc w:val="center"/>
              <w:rPr>
                <w:rFonts w:hAnsi="宋体" w:cs="宋体" w:hint="eastAsia"/>
                <w:szCs w:val="21"/>
              </w:rPr>
            </w:pPr>
            <w:r>
              <w:rPr>
                <w:rFonts w:hAnsi="宋体" w:cs="宋体" w:hint="eastAsia"/>
                <w:szCs w:val="21"/>
              </w:rPr>
              <w:t>功能</w:t>
            </w:r>
          </w:p>
        </w:tc>
      </w:tr>
      <w:tr w:rsidR="008F6B68" w14:paraId="23D4B82B" w14:textId="77777777">
        <w:trPr>
          <w:trHeight w:val="90"/>
          <w:jc w:val="center"/>
        </w:trPr>
        <w:tc>
          <w:tcPr>
            <w:tcW w:w="1171" w:type="dxa"/>
            <w:vAlign w:val="center"/>
          </w:tcPr>
          <w:p w14:paraId="4E557CB9"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RPS/GSE</w:t>
            </w:r>
          </w:p>
        </w:tc>
        <w:tc>
          <w:tcPr>
            <w:tcW w:w="7244" w:type="dxa"/>
            <w:vAlign w:val="center"/>
          </w:tcPr>
          <w:p w14:paraId="409EB6B9" w14:textId="77777777" w:rsidR="008F6B68" w:rsidRDefault="00000000">
            <w:pPr>
              <w:widowControl/>
              <w:jc w:val="left"/>
              <w:textAlignment w:val="center"/>
              <w:rPr>
                <w:rFonts w:ascii="宋体" w:hAnsi="宋体" w:cs="宋体" w:hint="eastAsia"/>
                <w:szCs w:val="21"/>
              </w:rPr>
            </w:pPr>
            <w:r>
              <w:rPr>
                <w:rFonts w:ascii="宋体" w:hAnsi="宋体" w:cs="宋体" w:hint="eastAsia"/>
                <w:color w:val="000000"/>
                <w:kern w:val="0"/>
                <w:szCs w:val="21"/>
                <w:lang w:bidi="ar"/>
              </w:rPr>
              <w:t xml:space="preserve">反应堆紧急停堆、汽轮机停机 </w:t>
            </w:r>
          </w:p>
        </w:tc>
      </w:tr>
      <w:tr w:rsidR="008F6B68" w14:paraId="69DBD418" w14:textId="77777777">
        <w:trPr>
          <w:trHeight w:val="90"/>
          <w:jc w:val="center"/>
        </w:trPr>
        <w:tc>
          <w:tcPr>
            <w:tcW w:w="1171" w:type="dxa"/>
            <w:vAlign w:val="center"/>
          </w:tcPr>
          <w:p w14:paraId="32A9FEBF"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RIS/RHR</w:t>
            </w:r>
          </w:p>
        </w:tc>
        <w:tc>
          <w:tcPr>
            <w:tcW w:w="7244" w:type="dxa"/>
            <w:vAlign w:val="center"/>
          </w:tcPr>
          <w:p w14:paraId="3E9EB6E9" w14:textId="77777777" w:rsidR="008F6B68" w:rsidRDefault="00000000">
            <w:pPr>
              <w:widowControl/>
              <w:jc w:val="left"/>
              <w:textAlignment w:val="center"/>
              <w:rPr>
                <w:rFonts w:ascii="宋体" w:hAnsi="宋体" w:cs="宋体" w:hint="eastAsia"/>
                <w:szCs w:val="21"/>
              </w:rPr>
            </w:pPr>
            <w:r>
              <w:rPr>
                <w:rFonts w:ascii="宋体" w:hAnsi="宋体" w:cs="宋体" w:hint="eastAsia"/>
                <w:color w:val="000000"/>
                <w:kern w:val="0"/>
                <w:szCs w:val="21"/>
                <w:lang w:bidi="ar"/>
              </w:rPr>
              <w:t xml:space="preserve">启动/复位、中/低压安注泵停运、安注箱隔离、冷热段同时注入切换、安注转上充、RHR功能投运、RHR流量调节 </w:t>
            </w:r>
          </w:p>
        </w:tc>
      </w:tr>
      <w:tr w:rsidR="008F6B68" w14:paraId="33616118" w14:textId="77777777">
        <w:trPr>
          <w:trHeight w:val="90"/>
          <w:jc w:val="center"/>
        </w:trPr>
        <w:tc>
          <w:tcPr>
            <w:tcW w:w="1171" w:type="dxa"/>
            <w:vAlign w:val="center"/>
          </w:tcPr>
          <w:p w14:paraId="3164998D"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ARE</w:t>
            </w:r>
          </w:p>
        </w:tc>
        <w:tc>
          <w:tcPr>
            <w:tcW w:w="7244" w:type="dxa"/>
            <w:vAlign w:val="center"/>
          </w:tcPr>
          <w:p w14:paraId="7B638139" w14:textId="77777777" w:rsidR="008F6B68" w:rsidRDefault="00000000">
            <w:pPr>
              <w:widowControl/>
              <w:jc w:val="left"/>
              <w:textAlignment w:val="center"/>
              <w:rPr>
                <w:rFonts w:ascii="宋体" w:hAnsi="宋体" w:cs="宋体" w:hint="eastAsia"/>
                <w:szCs w:val="21"/>
              </w:rPr>
            </w:pPr>
            <w:r>
              <w:rPr>
                <w:rFonts w:ascii="宋体" w:hAnsi="宋体" w:cs="宋体" w:hint="eastAsia"/>
                <w:color w:val="000000"/>
                <w:kern w:val="0"/>
                <w:szCs w:val="21"/>
                <w:lang w:bidi="ar"/>
              </w:rPr>
              <w:t xml:space="preserve">管线隔离、给水泵停运 </w:t>
            </w:r>
          </w:p>
        </w:tc>
      </w:tr>
      <w:tr w:rsidR="008F6B68" w14:paraId="552CC8B3" w14:textId="77777777">
        <w:trPr>
          <w:trHeight w:val="90"/>
          <w:jc w:val="center"/>
        </w:trPr>
        <w:tc>
          <w:tcPr>
            <w:tcW w:w="1171" w:type="dxa"/>
            <w:vAlign w:val="center"/>
          </w:tcPr>
          <w:p w14:paraId="39D69316"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VVP</w:t>
            </w:r>
          </w:p>
        </w:tc>
        <w:tc>
          <w:tcPr>
            <w:tcW w:w="7244" w:type="dxa"/>
            <w:vAlign w:val="center"/>
          </w:tcPr>
          <w:p w14:paraId="77D583C3" w14:textId="77777777" w:rsidR="008F6B68" w:rsidRDefault="00000000">
            <w:pPr>
              <w:widowControl/>
              <w:jc w:val="left"/>
              <w:textAlignment w:val="center"/>
              <w:rPr>
                <w:rFonts w:ascii="宋体" w:hAnsi="宋体" w:cs="宋体" w:hint="eastAsia"/>
                <w:szCs w:val="21"/>
              </w:rPr>
            </w:pPr>
            <w:r>
              <w:rPr>
                <w:rFonts w:ascii="宋体" w:hAnsi="宋体" w:cs="宋体" w:hint="eastAsia"/>
                <w:color w:val="000000"/>
                <w:kern w:val="0"/>
                <w:szCs w:val="21"/>
                <w:lang w:bidi="ar"/>
              </w:rPr>
              <w:t xml:space="preserve">主蒸汽管道隔离、对空排气支管冷却投运/退出 </w:t>
            </w:r>
          </w:p>
        </w:tc>
      </w:tr>
      <w:tr w:rsidR="008F6B68" w14:paraId="2AB699D6" w14:textId="77777777">
        <w:trPr>
          <w:trHeight w:val="90"/>
          <w:jc w:val="center"/>
        </w:trPr>
        <w:tc>
          <w:tcPr>
            <w:tcW w:w="1171" w:type="dxa"/>
            <w:vAlign w:val="center"/>
          </w:tcPr>
          <w:p w14:paraId="321C546B"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ASG</w:t>
            </w:r>
          </w:p>
        </w:tc>
        <w:tc>
          <w:tcPr>
            <w:tcW w:w="7244" w:type="dxa"/>
            <w:vAlign w:val="center"/>
          </w:tcPr>
          <w:p w14:paraId="03DF5B1A" w14:textId="77777777" w:rsidR="008F6B68" w:rsidRDefault="00000000">
            <w:pPr>
              <w:widowControl/>
              <w:jc w:val="left"/>
              <w:textAlignment w:val="center"/>
              <w:rPr>
                <w:rFonts w:ascii="宋体" w:hAnsi="宋体" w:cs="宋体" w:hint="eastAsia"/>
                <w:szCs w:val="21"/>
              </w:rPr>
            </w:pPr>
            <w:r>
              <w:rPr>
                <w:rFonts w:ascii="宋体" w:hAnsi="宋体" w:cs="宋体" w:hint="eastAsia"/>
                <w:color w:val="000000"/>
                <w:kern w:val="0"/>
                <w:szCs w:val="21"/>
                <w:lang w:bidi="ar"/>
              </w:rPr>
              <w:t xml:space="preserve">泵启动/停运、流量调节、ASG水箱补水 </w:t>
            </w:r>
          </w:p>
        </w:tc>
      </w:tr>
      <w:tr w:rsidR="008F6B68" w14:paraId="6A67FD16" w14:textId="77777777">
        <w:trPr>
          <w:trHeight w:val="90"/>
          <w:jc w:val="center"/>
        </w:trPr>
        <w:tc>
          <w:tcPr>
            <w:tcW w:w="1171" w:type="dxa"/>
            <w:vAlign w:val="center"/>
          </w:tcPr>
          <w:p w14:paraId="3A3872B8"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RCP</w:t>
            </w:r>
          </w:p>
        </w:tc>
        <w:tc>
          <w:tcPr>
            <w:tcW w:w="7244" w:type="dxa"/>
            <w:vAlign w:val="center"/>
          </w:tcPr>
          <w:p w14:paraId="2295DDBA" w14:textId="77777777" w:rsidR="008F6B68" w:rsidRDefault="00000000">
            <w:pPr>
              <w:widowControl/>
              <w:jc w:val="left"/>
              <w:textAlignment w:val="center"/>
              <w:rPr>
                <w:rFonts w:ascii="宋体" w:hAnsi="宋体" w:cs="宋体" w:hint="eastAsia"/>
                <w:szCs w:val="21"/>
              </w:rPr>
            </w:pPr>
            <w:r>
              <w:rPr>
                <w:rFonts w:ascii="宋体" w:hAnsi="宋体" w:cs="宋体" w:hint="eastAsia"/>
                <w:color w:val="000000"/>
                <w:kern w:val="0"/>
                <w:szCs w:val="21"/>
                <w:lang w:bidi="ar"/>
              </w:rPr>
              <w:t xml:space="preserve">正常喷淋投运/停运/流量调节、稳压器安全阀打开/关闭、稳压器加热器投运/停运、主泵停运 </w:t>
            </w:r>
          </w:p>
        </w:tc>
      </w:tr>
      <w:tr w:rsidR="008F6B68" w14:paraId="2A781142" w14:textId="77777777">
        <w:trPr>
          <w:trHeight w:val="90"/>
          <w:jc w:val="center"/>
        </w:trPr>
        <w:tc>
          <w:tcPr>
            <w:tcW w:w="1171" w:type="dxa"/>
            <w:vAlign w:val="center"/>
          </w:tcPr>
          <w:p w14:paraId="32653100"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RCV</w:t>
            </w:r>
          </w:p>
        </w:tc>
        <w:tc>
          <w:tcPr>
            <w:tcW w:w="7244" w:type="dxa"/>
            <w:vAlign w:val="center"/>
          </w:tcPr>
          <w:p w14:paraId="6F159813" w14:textId="77777777" w:rsidR="008F6B68" w:rsidRDefault="00000000">
            <w:pPr>
              <w:widowControl/>
              <w:jc w:val="left"/>
              <w:textAlignment w:val="center"/>
              <w:rPr>
                <w:rFonts w:ascii="宋体" w:hAnsi="宋体" w:cs="宋体" w:hint="eastAsia"/>
                <w:szCs w:val="21"/>
              </w:rPr>
            </w:pPr>
            <w:r>
              <w:rPr>
                <w:rFonts w:ascii="宋体" w:hAnsi="宋体" w:cs="宋体" w:hint="eastAsia"/>
                <w:color w:val="000000"/>
                <w:kern w:val="0"/>
                <w:szCs w:val="21"/>
                <w:lang w:bidi="ar"/>
              </w:rPr>
              <w:t xml:space="preserve">上充投运/停运/流量调节、下泄投运/停运/流量调节、辅助喷淋投运/停运/流量调节、轴封注入流量调节、上充泵切换至IRWST水箱 </w:t>
            </w:r>
          </w:p>
        </w:tc>
      </w:tr>
      <w:tr w:rsidR="008F6B68" w14:paraId="4A02B36C" w14:textId="77777777">
        <w:trPr>
          <w:trHeight w:val="90"/>
          <w:jc w:val="center"/>
        </w:trPr>
        <w:tc>
          <w:tcPr>
            <w:tcW w:w="1171" w:type="dxa"/>
            <w:vAlign w:val="center"/>
          </w:tcPr>
          <w:p w14:paraId="5B3ACA4C"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APG</w:t>
            </w:r>
          </w:p>
        </w:tc>
        <w:tc>
          <w:tcPr>
            <w:tcW w:w="7244" w:type="dxa"/>
            <w:vAlign w:val="center"/>
          </w:tcPr>
          <w:p w14:paraId="796F9DB9" w14:textId="77777777" w:rsidR="008F6B68" w:rsidRDefault="00000000">
            <w:pPr>
              <w:widowControl/>
              <w:jc w:val="left"/>
              <w:textAlignment w:val="center"/>
              <w:rPr>
                <w:rFonts w:ascii="宋体" w:hAnsi="宋体" w:cs="宋体" w:hint="eastAsia"/>
                <w:szCs w:val="21"/>
              </w:rPr>
            </w:pPr>
            <w:r>
              <w:rPr>
                <w:rFonts w:ascii="宋体" w:hAnsi="宋体" w:cs="宋体" w:hint="eastAsia"/>
                <w:color w:val="000000"/>
                <w:kern w:val="0"/>
                <w:szCs w:val="21"/>
                <w:lang w:bidi="ar"/>
              </w:rPr>
              <w:t xml:space="preserve">投运/停运 </w:t>
            </w:r>
          </w:p>
        </w:tc>
      </w:tr>
      <w:tr w:rsidR="008F6B68" w14:paraId="734FD0FC" w14:textId="77777777">
        <w:trPr>
          <w:trHeight w:val="90"/>
          <w:jc w:val="center"/>
        </w:trPr>
        <w:tc>
          <w:tcPr>
            <w:tcW w:w="1171" w:type="dxa"/>
            <w:vAlign w:val="center"/>
          </w:tcPr>
          <w:p w14:paraId="64AA21C1"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ASP</w:t>
            </w:r>
          </w:p>
        </w:tc>
        <w:tc>
          <w:tcPr>
            <w:tcW w:w="7244" w:type="dxa"/>
            <w:vAlign w:val="center"/>
          </w:tcPr>
          <w:p w14:paraId="6DDDDC0D" w14:textId="77777777" w:rsidR="008F6B68" w:rsidRDefault="00000000">
            <w:pPr>
              <w:widowControl/>
              <w:jc w:val="left"/>
              <w:textAlignment w:val="center"/>
              <w:rPr>
                <w:rFonts w:ascii="宋体" w:hAnsi="宋体" w:cs="宋体" w:hint="eastAsia"/>
                <w:szCs w:val="21"/>
              </w:rPr>
            </w:pPr>
            <w:r>
              <w:rPr>
                <w:rFonts w:ascii="宋体" w:hAnsi="宋体" w:cs="宋体" w:hint="eastAsia"/>
                <w:color w:val="000000"/>
                <w:kern w:val="0"/>
                <w:szCs w:val="21"/>
                <w:lang w:bidi="ar"/>
              </w:rPr>
              <w:t xml:space="preserve">二次侧非能动余热排除系统投运/停运 </w:t>
            </w:r>
          </w:p>
        </w:tc>
      </w:tr>
      <w:tr w:rsidR="008F6B68" w14:paraId="5F13C246" w14:textId="77777777">
        <w:trPr>
          <w:trHeight w:val="90"/>
          <w:jc w:val="center"/>
        </w:trPr>
        <w:tc>
          <w:tcPr>
            <w:tcW w:w="1171" w:type="dxa"/>
            <w:vAlign w:val="center"/>
          </w:tcPr>
          <w:p w14:paraId="581153E6"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EHR</w:t>
            </w:r>
          </w:p>
        </w:tc>
        <w:tc>
          <w:tcPr>
            <w:tcW w:w="7244" w:type="dxa"/>
            <w:vAlign w:val="center"/>
          </w:tcPr>
          <w:p w14:paraId="2BCC7E3D" w14:textId="77777777" w:rsidR="008F6B68" w:rsidRDefault="00000000">
            <w:pPr>
              <w:widowControl/>
              <w:jc w:val="left"/>
              <w:textAlignment w:val="center"/>
              <w:rPr>
                <w:rFonts w:ascii="宋体" w:hAnsi="宋体" w:cs="宋体" w:hint="eastAsia"/>
                <w:szCs w:val="21"/>
              </w:rPr>
            </w:pPr>
            <w:r>
              <w:rPr>
                <w:rFonts w:ascii="宋体" w:hAnsi="宋体" w:cs="宋体" w:hint="eastAsia"/>
                <w:color w:val="000000"/>
                <w:kern w:val="0"/>
                <w:szCs w:val="21"/>
                <w:lang w:bidi="ar"/>
              </w:rPr>
              <w:t xml:space="preserve">直接喷淋投运/停运、再循环喷淋投运/停运、非能动堆坑注水管线 </w:t>
            </w:r>
          </w:p>
        </w:tc>
      </w:tr>
      <w:tr w:rsidR="008F6B68" w14:paraId="62D4DAEF" w14:textId="77777777">
        <w:trPr>
          <w:trHeight w:val="90"/>
          <w:jc w:val="center"/>
        </w:trPr>
        <w:tc>
          <w:tcPr>
            <w:tcW w:w="1171" w:type="dxa"/>
            <w:vAlign w:val="center"/>
          </w:tcPr>
          <w:p w14:paraId="1410E8A6"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RPS</w:t>
            </w:r>
          </w:p>
        </w:tc>
        <w:tc>
          <w:tcPr>
            <w:tcW w:w="7244" w:type="dxa"/>
            <w:vAlign w:val="center"/>
          </w:tcPr>
          <w:p w14:paraId="67B9ED63" w14:textId="77777777" w:rsidR="008F6B68" w:rsidRDefault="00000000">
            <w:pPr>
              <w:widowControl/>
              <w:jc w:val="left"/>
              <w:textAlignment w:val="center"/>
              <w:rPr>
                <w:rFonts w:ascii="宋体" w:hAnsi="宋体" w:cs="宋体" w:hint="eastAsia"/>
                <w:szCs w:val="21"/>
              </w:rPr>
            </w:pPr>
            <w:r>
              <w:rPr>
                <w:rFonts w:ascii="宋体" w:hAnsi="宋体" w:cs="宋体" w:hint="eastAsia"/>
                <w:color w:val="000000"/>
                <w:kern w:val="0"/>
                <w:szCs w:val="21"/>
                <w:lang w:bidi="ar"/>
              </w:rPr>
              <w:t xml:space="preserve">安全壳1/2/3/4阶段隔离/复位 </w:t>
            </w:r>
          </w:p>
        </w:tc>
      </w:tr>
      <w:tr w:rsidR="008F6B68" w14:paraId="4923E8B1" w14:textId="77777777">
        <w:trPr>
          <w:trHeight w:val="90"/>
          <w:jc w:val="center"/>
        </w:trPr>
        <w:tc>
          <w:tcPr>
            <w:tcW w:w="1171" w:type="dxa"/>
            <w:vAlign w:val="center"/>
          </w:tcPr>
          <w:p w14:paraId="1ADFF937"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VDA</w:t>
            </w:r>
          </w:p>
        </w:tc>
        <w:tc>
          <w:tcPr>
            <w:tcW w:w="7244" w:type="dxa"/>
            <w:vAlign w:val="center"/>
          </w:tcPr>
          <w:p w14:paraId="1D686629" w14:textId="77777777" w:rsidR="008F6B68" w:rsidRDefault="00000000">
            <w:pPr>
              <w:widowControl/>
              <w:jc w:val="left"/>
              <w:textAlignment w:val="center"/>
              <w:rPr>
                <w:rFonts w:ascii="宋体" w:hAnsi="宋体" w:cs="宋体" w:hint="eastAsia"/>
                <w:szCs w:val="21"/>
              </w:rPr>
            </w:pPr>
            <w:r>
              <w:rPr>
                <w:rFonts w:ascii="宋体" w:hAnsi="宋体" w:cs="宋体" w:hint="eastAsia"/>
                <w:color w:val="000000"/>
                <w:kern w:val="0"/>
                <w:szCs w:val="21"/>
                <w:lang w:bidi="ar"/>
              </w:rPr>
              <w:t xml:space="preserve">中压快速冷却、冷却投运/隔离/调节 </w:t>
            </w:r>
          </w:p>
        </w:tc>
      </w:tr>
      <w:tr w:rsidR="008F6B68" w14:paraId="0A65A9BF" w14:textId="77777777">
        <w:trPr>
          <w:trHeight w:val="90"/>
          <w:jc w:val="center"/>
        </w:trPr>
        <w:tc>
          <w:tcPr>
            <w:tcW w:w="1171" w:type="dxa"/>
            <w:vAlign w:val="center"/>
          </w:tcPr>
          <w:p w14:paraId="01A2B82E"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GCT</w:t>
            </w:r>
          </w:p>
        </w:tc>
        <w:tc>
          <w:tcPr>
            <w:tcW w:w="7244" w:type="dxa"/>
            <w:vAlign w:val="center"/>
          </w:tcPr>
          <w:p w14:paraId="5A806313" w14:textId="77777777" w:rsidR="008F6B68" w:rsidRDefault="00000000">
            <w:pPr>
              <w:widowControl/>
              <w:jc w:val="left"/>
              <w:textAlignment w:val="center"/>
              <w:rPr>
                <w:rFonts w:ascii="宋体" w:hAnsi="宋体" w:cs="宋体" w:hint="eastAsia"/>
                <w:szCs w:val="21"/>
              </w:rPr>
            </w:pPr>
            <w:r>
              <w:rPr>
                <w:rFonts w:ascii="宋体" w:hAnsi="宋体" w:cs="宋体" w:hint="eastAsia"/>
                <w:color w:val="000000"/>
                <w:kern w:val="0"/>
                <w:szCs w:val="21"/>
                <w:lang w:bidi="ar"/>
              </w:rPr>
              <w:t xml:space="preserve">中压快速冷却、冷却投运/隔离/调节 </w:t>
            </w:r>
          </w:p>
        </w:tc>
      </w:tr>
      <w:tr w:rsidR="008F6B68" w14:paraId="2E7545BC" w14:textId="77777777">
        <w:trPr>
          <w:trHeight w:val="90"/>
          <w:jc w:val="center"/>
        </w:trPr>
        <w:tc>
          <w:tcPr>
            <w:tcW w:w="1171" w:type="dxa"/>
            <w:vAlign w:val="center"/>
          </w:tcPr>
          <w:p w14:paraId="792DBB28"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REA</w:t>
            </w:r>
          </w:p>
        </w:tc>
        <w:tc>
          <w:tcPr>
            <w:tcW w:w="7244" w:type="dxa"/>
            <w:vAlign w:val="center"/>
          </w:tcPr>
          <w:p w14:paraId="6A71E544" w14:textId="77777777" w:rsidR="008F6B68" w:rsidRDefault="00000000">
            <w:pPr>
              <w:widowControl/>
              <w:jc w:val="left"/>
              <w:textAlignment w:val="center"/>
              <w:rPr>
                <w:rFonts w:ascii="宋体" w:hAnsi="宋体" w:cs="宋体" w:hint="eastAsia"/>
                <w:szCs w:val="21"/>
              </w:rPr>
            </w:pPr>
            <w:r>
              <w:rPr>
                <w:rFonts w:ascii="宋体" w:hAnsi="宋体" w:cs="宋体" w:hint="eastAsia"/>
                <w:color w:val="000000"/>
                <w:kern w:val="0"/>
                <w:szCs w:val="21"/>
                <w:lang w:bidi="ar"/>
              </w:rPr>
              <w:t xml:space="preserve">硼化投运/停运 </w:t>
            </w:r>
          </w:p>
        </w:tc>
      </w:tr>
      <w:tr w:rsidR="008F6B68" w14:paraId="2D1798E5" w14:textId="77777777">
        <w:trPr>
          <w:trHeight w:val="90"/>
          <w:jc w:val="center"/>
        </w:trPr>
        <w:tc>
          <w:tcPr>
            <w:tcW w:w="1171" w:type="dxa"/>
            <w:vAlign w:val="center"/>
          </w:tcPr>
          <w:p w14:paraId="64010394"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RBS</w:t>
            </w:r>
          </w:p>
        </w:tc>
        <w:tc>
          <w:tcPr>
            <w:tcW w:w="7244" w:type="dxa"/>
            <w:vAlign w:val="center"/>
          </w:tcPr>
          <w:p w14:paraId="15F32D25" w14:textId="77777777" w:rsidR="008F6B68" w:rsidRDefault="00000000">
            <w:pPr>
              <w:widowControl/>
              <w:jc w:val="left"/>
              <w:textAlignment w:val="center"/>
              <w:rPr>
                <w:rFonts w:ascii="宋体" w:hAnsi="宋体" w:cs="宋体" w:hint="eastAsia"/>
                <w:szCs w:val="21"/>
              </w:rPr>
            </w:pPr>
            <w:r>
              <w:rPr>
                <w:rFonts w:ascii="宋体" w:hAnsi="宋体" w:cs="宋体" w:hint="eastAsia"/>
                <w:color w:val="000000"/>
                <w:kern w:val="0"/>
                <w:szCs w:val="21"/>
                <w:lang w:bidi="ar"/>
              </w:rPr>
              <w:t xml:space="preserve">应急硼化功能投运/停运 </w:t>
            </w:r>
          </w:p>
        </w:tc>
      </w:tr>
      <w:tr w:rsidR="008F6B68" w14:paraId="0BE3DDFB" w14:textId="77777777">
        <w:trPr>
          <w:trHeight w:val="90"/>
          <w:jc w:val="center"/>
        </w:trPr>
        <w:tc>
          <w:tcPr>
            <w:tcW w:w="1171" w:type="dxa"/>
            <w:vAlign w:val="center"/>
          </w:tcPr>
          <w:p w14:paraId="7D51425C"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SEC/RRI</w:t>
            </w:r>
          </w:p>
        </w:tc>
        <w:tc>
          <w:tcPr>
            <w:tcW w:w="7244" w:type="dxa"/>
            <w:vAlign w:val="center"/>
          </w:tcPr>
          <w:p w14:paraId="316BB3F7" w14:textId="77777777" w:rsidR="008F6B68" w:rsidRDefault="00000000">
            <w:pPr>
              <w:widowControl/>
              <w:jc w:val="left"/>
              <w:textAlignment w:val="center"/>
              <w:rPr>
                <w:rFonts w:ascii="宋体" w:hAnsi="宋体" w:cs="宋体" w:hint="eastAsia"/>
                <w:szCs w:val="21"/>
              </w:rPr>
            </w:pPr>
            <w:r>
              <w:rPr>
                <w:rFonts w:ascii="宋体" w:hAnsi="宋体" w:cs="宋体" w:hint="eastAsia"/>
                <w:color w:val="000000"/>
                <w:kern w:val="0"/>
                <w:szCs w:val="21"/>
                <w:lang w:bidi="ar"/>
              </w:rPr>
              <w:t xml:space="preserve">投运/停运 </w:t>
            </w:r>
          </w:p>
        </w:tc>
      </w:tr>
      <w:tr w:rsidR="008F6B68" w14:paraId="364D309C" w14:textId="77777777">
        <w:trPr>
          <w:trHeight w:val="90"/>
          <w:jc w:val="center"/>
        </w:trPr>
        <w:tc>
          <w:tcPr>
            <w:tcW w:w="1171" w:type="dxa"/>
            <w:vAlign w:val="center"/>
          </w:tcPr>
          <w:p w14:paraId="3FC79218"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EDG</w:t>
            </w:r>
          </w:p>
        </w:tc>
        <w:tc>
          <w:tcPr>
            <w:tcW w:w="7244" w:type="dxa"/>
            <w:vAlign w:val="center"/>
          </w:tcPr>
          <w:p w14:paraId="663C6720" w14:textId="77777777" w:rsidR="008F6B68" w:rsidRDefault="00000000">
            <w:pPr>
              <w:widowControl/>
              <w:jc w:val="left"/>
              <w:textAlignment w:val="center"/>
              <w:rPr>
                <w:rFonts w:ascii="宋体" w:hAnsi="宋体" w:cs="宋体" w:hint="eastAsia"/>
                <w:szCs w:val="21"/>
              </w:rPr>
            </w:pPr>
            <w:r>
              <w:rPr>
                <w:rFonts w:ascii="宋体" w:hAnsi="宋体" w:cs="宋体" w:hint="eastAsia"/>
                <w:color w:val="000000"/>
                <w:kern w:val="0"/>
                <w:szCs w:val="21"/>
                <w:lang w:bidi="ar"/>
              </w:rPr>
              <w:t xml:space="preserve">启动、卸/加载 </w:t>
            </w:r>
          </w:p>
        </w:tc>
      </w:tr>
      <w:tr w:rsidR="008F6B68" w14:paraId="4782ECE9" w14:textId="77777777">
        <w:trPr>
          <w:trHeight w:val="90"/>
          <w:jc w:val="center"/>
        </w:trPr>
        <w:tc>
          <w:tcPr>
            <w:tcW w:w="1171" w:type="dxa"/>
            <w:vAlign w:val="center"/>
          </w:tcPr>
          <w:p w14:paraId="4A4E9F6C" w14:textId="77777777" w:rsidR="008F6B68"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SBO柴油机</w:t>
            </w:r>
          </w:p>
        </w:tc>
        <w:tc>
          <w:tcPr>
            <w:tcW w:w="7244" w:type="dxa"/>
            <w:vAlign w:val="center"/>
          </w:tcPr>
          <w:p w14:paraId="4546C867" w14:textId="77777777" w:rsidR="008F6B68"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启动、卸/加载</w:t>
            </w:r>
          </w:p>
        </w:tc>
      </w:tr>
    </w:tbl>
    <w:p w14:paraId="04C78A27" w14:textId="77777777" w:rsidR="008F6B68" w:rsidRDefault="008F6B68">
      <w:pPr>
        <w:pStyle w:val="aff9"/>
        <w:ind w:firstLineChars="0" w:firstLine="0"/>
        <w:rPr>
          <w:rFonts w:hAnsi="宋体" w:cs="宋体" w:hint="eastAsia"/>
          <w:szCs w:val="21"/>
        </w:rPr>
      </w:pPr>
    </w:p>
    <w:tbl>
      <w:tblPr>
        <w:tblStyle w:val="affd"/>
        <w:tblW w:w="0" w:type="auto"/>
        <w:jc w:val="center"/>
        <w:tblLook w:val="04A0" w:firstRow="1" w:lastRow="0" w:firstColumn="1" w:lastColumn="0" w:noHBand="0" w:noVBand="1"/>
      </w:tblPr>
      <w:tblGrid>
        <w:gridCol w:w="1200"/>
        <w:gridCol w:w="7262"/>
      </w:tblGrid>
      <w:tr w:rsidR="008F6B68" w14:paraId="3A535621" w14:textId="77777777">
        <w:trPr>
          <w:jc w:val="center"/>
        </w:trPr>
        <w:tc>
          <w:tcPr>
            <w:tcW w:w="8462" w:type="dxa"/>
            <w:gridSpan w:val="2"/>
          </w:tcPr>
          <w:p w14:paraId="760BB608" w14:textId="77777777" w:rsidR="008F6B68" w:rsidRDefault="00000000">
            <w:pPr>
              <w:pStyle w:val="aff9"/>
              <w:jc w:val="center"/>
              <w:rPr>
                <w:rFonts w:hAnsi="宋体" w:cs="宋体" w:hint="eastAsia"/>
                <w:szCs w:val="21"/>
              </w:rPr>
            </w:pPr>
            <w:r>
              <w:rPr>
                <w:rFonts w:hAnsi="宋体" w:cs="宋体" w:hint="eastAsia"/>
                <w:szCs w:val="21"/>
              </w:rPr>
              <w:t>适用于AP1000系列机组</w:t>
            </w:r>
          </w:p>
        </w:tc>
      </w:tr>
      <w:tr w:rsidR="008F6B68" w14:paraId="74C58283" w14:textId="77777777">
        <w:trPr>
          <w:jc w:val="center"/>
        </w:trPr>
        <w:tc>
          <w:tcPr>
            <w:tcW w:w="1200" w:type="dxa"/>
          </w:tcPr>
          <w:p w14:paraId="2A1C0855" w14:textId="77777777" w:rsidR="008F6B68" w:rsidRDefault="00000000">
            <w:pPr>
              <w:pStyle w:val="aff9"/>
              <w:ind w:rightChars="-36" w:right="-76" w:firstLineChars="0" w:firstLine="0"/>
              <w:rPr>
                <w:rFonts w:hAnsi="宋体" w:cs="宋体" w:hint="eastAsia"/>
                <w:szCs w:val="21"/>
              </w:rPr>
            </w:pPr>
            <w:r>
              <w:rPr>
                <w:rFonts w:hAnsi="宋体" w:cs="宋体" w:hint="eastAsia"/>
                <w:szCs w:val="21"/>
              </w:rPr>
              <w:t>系统或设备</w:t>
            </w:r>
          </w:p>
        </w:tc>
        <w:tc>
          <w:tcPr>
            <w:tcW w:w="7262" w:type="dxa"/>
          </w:tcPr>
          <w:p w14:paraId="10785E47" w14:textId="77777777" w:rsidR="008F6B68" w:rsidRDefault="00000000">
            <w:pPr>
              <w:pStyle w:val="aff9"/>
              <w:ind w:firstLineChars="0" w:firstLine="0"/>
              <w:jc w:val="center"/>
              <w:rPr>
                <w:rFonts w:hAnsi="宋体" w:cs="宋体" w:hint="eastAsia"/>
                <w:szCs w:val="21"/>
              </w:rPr>
            </w:pPr>
            <w:r>
              <w:rPr>
                <w:rFonts w:hAnsi="宋体" w:cs="宋体" w:hint="eastAsia"/>
                <w:szCs w:val="21"/>
              </w:rPr>
              <w:t>功能</w:t>
            </w:r>
          </w:p>
        </w:tc>
      </w:tr>
      <w:tr w:rsidR="008F6B68" w14:paraId="4AA38424" w14:textId="77777777">
        <w:trPr>
          <w:jc w:val="center"/>
        </w:trPr>
        <w:tc>
          <w:tcPr>
            <w:tcW w:w="1200" w:type="dxa"/>
            <w:vAlign w:val="center"/>
          </w:tcPr>
          <w:p w14:paraId="582CC8AF" w14:textId="77777777" w:rsidR="008F6B68" w:rsidRDefault="00000000">
            <w:pPr>
              <w:pStyle w:val="aff9"/>
              <w:ind w:firstLineChars="0" w:firstLine="0"/>
              <w:jc w:val="center"/>
              <w:rPr>
                <w:rFonts w:hAnsi="宋体" w:cs="宋体" w:hint="eastAsia"/>
                <w:szCs w:val="21"/>
              </w:rPr>
            </w:pPr>
            <w:r>
              <w:rPr>
                <w:rFonts w:hAnsi="宋体" w:cs="宋体" w:hint="eastAsia"/>
                <w:szCs w:val="21"/>
              </w:rPr>
              <w:t>PMS/DAS</w:t>
            </w:r>
          </w:p>
        </w:tc>
        <w:tc>
          <w:tcPr>
            <w:tcW w:w="7262" w:type="dxa"/>
          </w:tcPr>
          <w:p w14:paraId="491BCD65" w14:textId="77777777" w:rsidR="008F6B68" w:rsidRDefault="00000000">
            <w:pPr>
              <w:pStyle w:val="aff9"/>
              <w:ind w:firstLineChars="0" w:firstLine="0"/>
              <w:rPr>
                <w:rFonts w:hAnsi="宋体" w:cs="宋体" w:hint="eastAsia"/>
                <w:szCs w:val="21"/>
              </w:rPr>
            </w:pPr>
            <w:r>
              <w:rPr>
                <w:rFonts w:hAnsi="宋体" w:cs="宋体" w:hint="eastAsia"/>
                <w:szCs w:val="21"/>
              </w:rPr>
              <w:t>反应堆紧急停堆、汽轮机停机</w:t>
            </w:r>
          </w:p>
        </w:tc>
      </w:tr>
      <w:tr w:rsidR="008F6B68" w14:paraId="4169DECC" w14:textId="77777777">
        <w:trPr>
          <w:jc w:val="center"/>
        </w:trPr>
        <w:tc>
          <w:tcPr>
            <w:tcW w:w="1200" w:type="dxa"/>
            <w:vAlign w:val="center"/>
          </w:tcPr>
          <w:p w14:paraId="7E113ADB" w14:textId="77777777" w:rsidR="008F6B68" w:rsidRDefault="00000000">
            <w:pPr>
              <w:pStyle w:val="aff9"/>
              <w:ind w:firstLineChars="0" w:firstLine="0"/>
              <w:jc w:val="center"/>
              <w:rPr>
                <w:rFonts w:hAnsi="宋体" w:cs="宋体" w:hint="eastAsia"/>
                <w:szCs w:val="21"/>
              </w:rPr>
            </w:pPr>
            <w:r>
              <w:rPr>
                <w:rFonts w:hAnsi="宋体" w:cs="宋体" w:hint="eastAsia"/>
                <w:szCs w:val="21"/>
              </w:rPr>
              <w:t>PXS</w:t>
            </w:r>
          </w:p>
        </w:tc>
        <w:tc>
          <w:tcPr>
            <w:tcW w:w="7262" w:type="dxa"/>
          </w:tcPr>
          <w:p w14:paraId="760BE555" w14:textId="77777777" w:rsidR="008F6B68" w:rsidRDefault="00000000">
            <w:pPr>
              <w:pStyle w:val="aff9"/>
              <w:ind w:firstLineChars="0" w:firstLine="0"/>
              <w:rPr>
                <w:rFonts w:hAnsi="宋体" w:cs="宋体" w:hint="eastAsia"/>
                <w:szCs w:val="21"/>
              </w:rPr>
            </w:pPr>
            <w:r>
              <w:rPr>
                <w:rFonts w:hAnsi="宋体" w:cs="宋体" w:hint="eastAsia"/>
                <w:szCs w:val="21"/>
              </w:rPr>
              <w:t>CMT(堆芯补水箱)隔离、安注箱隔离、PRHR流量调节或置备用</w:t>
            </w:r>
          </w:p>
        </w:tc>
      </w:tr>
      <w:tr w:rsidR="008F6B68" w14:paraId="6404CA89" w14:textId="77777777">
        <w:trPr>
          <w:jc w:val="center"/>
        </w:trPr>
        <w:tc>
          <w:tcPr>
            <w:tcW w:w="1200" w:type="dxa"/>
            <w:vAlign w:val="center"/>
          </w:tcPr>
          <w:p w14:paraId="159507C3" w14:textId="77777777" w:rsidR="008F6B68" w:rsidRDefault="00000000">
            <w:pPr>
              <w:pStyle w:val="aff9"/>
              <w:ind w:firstLineChars="0" w:firstLine="0"/>
              <w:jc w:val="center"/>
              <w:rPr>
                <w:rFonts w:hAnsi="宋体" w:cs="宋体" w:hint="eastAsia"/>
                <w:szCs w:val="21"/>
              </w:rPr>
            </w:pPr>
            <w:r>
              <w:rPr>
                <w:rFonts w:hAnsi="宋体" w:cs="宋体" w:hint="eastAsia"/>
                <w:szCs w:val="21"/>
              </w:rPr>
              <w:t>RCS</w:t>
            </w:r>
          </w:p>
        </w:tc>
        <w:tc>
          <w:tcPr>
            <w:tcW w:w="7262" w:type="dxa"/>
          </w:tcPr>
          <w:p w14:paraId="11577A8A" w14:textId="77777777" w:rsidR="008F6B68" w:rsidRDefault="00000000">
            <w:pPr>
              <w:pStyle w:val="aff9"/>
              <w:ind w:firstLineChars="0" w:firstLine="0"/>
              <w:rPr>
                <w:rFonts w:hAnsi="宋体" w:cs="宋体" w:hint="eastAsia"/>
                <w:szCs w:val="21"/>
              </w:rPr>
            </w:pPr>
            <w:r>
              <w:rPr>
                <w:rFonts w:hAnsi="宋体" w:cs="宋体" w:hint="eastAsia"/>
                <w:szCs w:val="21"/>
              </w:rPr>
              <w:t>稳压器满溢风险时应急堆芯下泄、ADS阀组事故下自动降压保证非能动安全系统注入堆芯、恢复主泵运行、手动控制稳压器电加热器与稳压器喷淋阀控制RCS压力</w:t>
            </w:r>
          </w:p>
        </w:tc>
      </w:tr>
      <w:tr w:rsidR="008F6B68" w14:paraId="41627BB2" w14:textId="77777777">
        <w:trPr>
          <w:jc w:val="center"/>
        </w:trPr>
        <w:tc>
          <w:tcPr>
            <w:tcW w:w="1200" w:type="dxa"/>
            <w:vAlign w:val="center"/>
          </w:tcPr>
          <w:p w14:paraId="26DAD1C6" w14:textId="77777777" w:rsidR="008F6B68" w:rsidRDefault="00000000">
            <w:pPr>
              <w:pStyle w:val="aff9"/>
              <w:ind w:firstLineChars="0" w:firstLine="0"/>
              <w:jc w:val="center"/>
              <w:rPr>
                <w:rFonts w:hAnsi="宋体" w:cs="宋体" w:hint="eastAsia"/>
                <w:szCs w:val="21"/>
              </w:rPr>
            </w:pPr>
            <w:r>
              <w:rPr>
                <w:rFonts w:hAnsi="宋体" w:cs="宋体" w:hint="eastAsia"/>
                <w:szCs w:val="21"/>
              </w:rPr>
              <w:t>CVS</w:t>
            </w:r>
          </w:p>
        </w:tc>
        <w:tc>
          <w:tcPr>
            <w:tcW w:w="7262" w:type="dxa"/>
          </w:tcPr>
          <w:p w14:paraId="33AE50E7" w14:textId="77777777" w:rsidR="008F6B68" w:rsidRDefault="00000000">
            <w:pPr>
              <w:pStyle w:val="aff9"/>
              <w:ind w:firstLineChars="0" w:firstLine="0"/>
              <w:rPr>
                <w:rFonts w:hAnsi="宋体" w:cs="宋体" w:hint="eastAsia"/>
                <w:szCs w:val="21"/>
              </w:rPr>
            </w:pPr>
            <w:r>
              <w:rPr>
                <w:rFonts w:hAnsi="宋体" w:cs="宋体" w:hint="eastAsia"/>
                <w:szCs w:val="21"/>
              </w:rPr>
              <w:t>RCS补水和硼化、稳压器辅助喷淋降压、恢复下泄或手动下泄</w:t>
            </w:r>
          </w:p>
        </w:tc>
      </w:tr>
      <w:tr w:rsidR="008F6B68" w14:paraId="011101BF" w14:textId="77777777">
        <w:trPr>
          <w:jc w:val="center"/>
        </w:trPr>
        <w:tc>
          <w:tcPr>
            <w:tcW w:w="1200" w:type="dxa"/>
            <w:vAlign w:val="center"/>
          </w:tcPr>
          <w:p w14:paraId="7A3023F7" w14:textId="77777777" w:rsidR="008F6B68" w:rsidRDefault="00000000">
            <w:pPr>
              <w:pStyle w:val="aff9"/>
              <w:ind w:firstLineChars="0" w:firstLine="0"/>
              <w:jc w:val="center"/>
              <w:rPr>
                <w:rFonts w:hAnsi="宋体" w:cs="宋体" w:hint="eastAsia"/>
                <w:szCs w:val="21"/>
              </w:rPr>
            </w:pPr>
            <w:r>
              <w:rPr>
                <w:rFonts w:hAnsi="宋体" w:cs="宋体" w:hint="eastAsia"/>
                <w:szCs w:val="21"/>
              </w:rPr>
              <w:t>SGS</w:t>
            </w:r>
          </w:p>
        </w:tc>
        <w:tc>
          <w:tcPr>
            <w:tcW w:w="7262" w:type="dxa"/>
          </w:tcPr>
          <w:p w14:paraId="23E0C5CD" w14:textId="77777777" w:rsidR="008F6B68" w:rsidRDefault="00000000">
            <w:pPr>
              <w:pStyle w:val="aff9"/>
              <w:ind w:firstLineChars="0" w:firstLine="0"/>
              <w:rPr>
                <w:rFonts w:hAnsi="宋体" w:cs="宋体" w:hint="eastAsia"/>
                <w:szCs w:val="21"/>
              </w:rPr>
            </w:pPr>
            <w:r>
              <w:rPr>
                <w:rFonts w:hAnsi="宋体" w:cs="宋体" w:hint="eastAsia"/>
                <w:szCs w:val="21"/>
              </w:rPr>
              <w:t>主蒸汽隔离、PORV(大气释放阀)压力调节、启动给水流量调节</w:t>
            </w:r>
          </w:p>
        </w:tc>
      </w:tr>
      <w:tr w:rsidR="008F6B68" w14:paraId="547D1CD2" w14:textId="77777777">
        <w:trPr>
          <w:jc w:val="center"/>
        </w:trPr>
        <w:tc>
          <w:tcPr>
            <w:tcW w:w="1200" w:type="dxa"/>
            <w:vAlign w:val="center"/>
          </w:tcPr>
          <w:p w14:paraId="047CBFAD" w14:textId="77777777" w:rsidR="008F6B68" w:rsidRDefault="00000000">
            <w:pPr>
              <w:pStyle w:val="aff9"/>
              <w:ind w:firstLineChars="0" w:firstLine="0"/>
              <w:jc w:val="center"/>
              <w:rPr>
                <w:rFonts w:hAnsi="宋体" w:cs="宋体" w:hint="eastAsia"/>
                <w:szCs w:val="21"/>
              </w:rPr>
            </w:pPr>
            <w:r>
              <w:rPr>
                <w:rFonts w:hAnsi="宋体" w:cs="宋体" w:hint="eastAsia"/>
                <w:szCs w:val="21"/>
              </w:rPr>
              <w:t>RNS</w:t>
            </w:r>
          </w:p>
        </w:tc>
        <w:tc>
          <w:tcPr>
            <w:tcW w:w="7262" w:type="dxa"/>
          </w:tcPr>
          <w:p w14:paraId="40D207AC" w14:textId="77777777" w:rsidR="008F6B68" w:rsidRDefault="00000000">
            <w:pPr>
              <w:pStyle w:val="aff9"/>
              <w:ind w:firstLineChars="0" w:firstLine="0"/>
              <w:rPr>
                <w:rFonts w:hAnsi="宋体" w:cs="宋体" w:hint="eastAsia"/>
                <w:szCs w:val="21"/>
              </w:rPr>
            </w:pPr>
            <w:r>
              <w:rPr>
                <w:rFonts w:hAnsi="宋体" w:cs="宋体" w:hint="eastAsia"/>
                <w:szCs w:val="21"/>
              </w:rPr>
              <w:t>IRWST（安全壳内换料水箱）冷却、堆芯衰变热导出</w:t>
            </w:r>
          </w:p>
        </w:tc>
      </w:tr>
      <w:tr w:rsidR="008F6B68" w14:paraId="5BF38910" w14:textId="77777777">
        <w:trPr>
          <w:jc w:val="center"/>
        </w:trPr>
        <w:tc>
          <w:tcPr>
            <w:tcW w:w="1200" w:type="dxa"/>
            <w:vAlign w:val="center"/>
          </w:tcPr>
          <w:p w14:paraId="5EC77BE1" w14:textId="77777777" w:rsidR="008F6B68" w:rsidRDefault="00000000">
            <w:pPr>
              <w:pStyle w:val="aff9"/>
              <w:ind w:firstLineChars="0" w:firstLine="0"/>
              <w:jc w:val="center"/>
              <w:rPr>
                <w:rFonts w:hAnsi="宋体" w:cs="宋体" w:hint="eastAsia"/>
                <w:szCs w:val="21"/>
              </w:rPr>
            </w:pPr>
            <w:r>
              <w:rPr>
                <w:rFonts w:hAnsi="宋体" w:cs="宋体" w:hint="eastAsia"/>
                <w:szCs w:val="21"/>
              </w:rPr>
              <w:t>CNS</w:t>
            </w:r>
          </w:p>
        </w:tc>
        <w:tc>
          <w:tcPr>
            <w:tcW w:w="7262" w:type="dxa"/>
          </w:tcPr>
          <w:p w14:paraId="25E84D8B" w14:textId="77777777" w:rsidR="008F6B68" w:rsidRDefault="00000000">
            <w:pPr>
              <w:pStyle w:val="aff9"/>
              <w:ind w:firstLineChars="0" w:firstLine="0"/>
              <w:rPr>
                <w:rFonts w:hAnsi="宋体" w:cs="宋体" w:hint="eastAsia"/>
                <w:szCs w:val="21"/>
              </w:rPr>
            </w:pPr>
            <w:r>
              <w:rPr>
                <w:rFonts w:hAnsi="宋体" w:cs="宋体" w:hint="eastAsia"/>
                <w:szCs w:val="21"/>
              </w:rPr>
              <w:t>安全壳隔离触发后安全壳内设备冷却水、仪用压空、冷冻水恢复</w:t>
            </w:r>
          </w:p>
        </w:tc>
      </w:tr>
      <w:tr w:rsidR="008F6B68" w14:paraId="3C1E1E5D" w14:textId="77777777">
        <w:trPr>
          <w:jc w:val="center"/>
        </w:trPr>
        <w:tc>
          <w:tcPr>
            <w:tcW w:w="1200" w:type="dxa"/>
            <w:vAlign w:val="center"/>
          </w:tcPr>
          <w:p w14:paraId="28DE142A" w14:textId="77777777" w:rsidR="008F6B68" w:rsidRDefault="00000000">
            <w:pPr>
              <w:pStyle w:val="aff9"/>
              <w:ind w:firstLineChars="0" w:firstLine="0"/>
              <w:jc w:val="center"/>
              <w:rPr>
                <w:rFonts w:hAnsi="宋体" w:cs="宋体" w:hint="eastAsia"/>
                <w:szCs w:val="21"/>
              </w:rPr>
            </w:pPr>
            <w:r>
              <w:rPr>
                <w:rFonts w:hAnsi="宋体" w:cs="宋体" w:hint="eastAsia"/>
                <w:szCs w:val="21"/>
              </w:rPr>
              <w:t>PCS</w:t>
            </w:r>
          </w:p>
        </w:tc>
        <w:tc>
          <w:tcPr>
            <w:tcW w:w="7262" w:type="dxa"/>
          </w:tcPr>
          <w:p w14:paraId="6AB85191" w14:textId="77777777" w:rsidR="008F6B68" w:rsidRDefault="00000000">
            <w:pPr>
              <w:pStyle w:val="aff9"/>
              <w:ind w:firstLineChars="0" w:firstLine="0"/>
              <w:rPr>
                <w:rFonts w:hAnsi="宋体" w:cs="宋体" w:hint="eastAsia"/>
                <w:szCs w:val="21"/>
              </w:rPr>
            </w:pPr>
            <w:r>
              <w:rPr>
                <w:rFonts w:hAnsi="宋体" w:cs="宋体" w:hint="eastAsia"/>
                <w:szCs w:val="21"/>
              </w:rPr>
              <w:t>PCCWST（非能动安全壳冷却水储存箱）补水</w:t>
            </w:r>
          </w:p>
        </w:tc>
      </w:tr>
      <w:tr w:rsidR="008F6B68" w14:paraId="5983013E" w14:textId="77777777">
        <w:trPr>
          <w:jc w:val="center"/>
        </w:trPr>
        <w:tc>
          <w:tcPr>
            <w:tcW w:w="1200" w:type="dxa"/>
            <w:vAlign w:val="center"/>
          </w:tcPr>
          <w:p w14:paraId="6A7FA4D5" w14:textId="77777777" w:rsidR="008F6B68" w:rsidRDefault="00000000">
            <w:pPr>
              <w:pStyle w:val="aff9"/>
              <w:ind w:firstLineChars="0" w:firstLine="0"/>
              <w:jc w:val="center"/>
              <w:rPr>
                <w:rFonts w:hAnsi="宋体" w:cs="宋体" w:hint="eastAsia"/>
                <w:szCs w:val="21"/>
              </w:rPr>
            </w:pPr>
            <w:r>
              <w:rPr>
                <w:rFonts w:hAnsi="宋体" w:cs="宋体" w:hint="eastAsia"/>
                <w:szCs w:val="21"/>
              </w:rPr>
              <w:t>CCS/SWS</w:t>
            </w:r>
          </w:p>
        </w:tc>
        <w:tc>
          <w:tcPr>
            <w:tcW w:w="7262" w:type="dxa"/>
          </w:tcPr>
          <w:p w14:paraId="3DE3716C" w14:textId="77777777" w:rsidR="008F6B68" w:rsidRDefault="00000000">
            <w:pPr>
              <w:pStyle w:val="aff9"/>
              <w:ind w:firstLineChars="0" w:firstLine="0"/>
              <w:rPr>
                <w:rFonts w:hAnsi="宋体" w:cs="宋体" w:hint="eastAsia"/>
                <w:szCs w:val="21"/>
              </w:rPr>
            </w:pPr>
            <w:r>
              <w:rPr>
                <w:rFonts w:hAnsi="宋体" w:cs="宋体" w:hint="eastAsia"/>
                <w:szCs w:val="21"/>
              </w:rPr>
              <w:t>设备冷却水与厂用水第二列启动并分裂运行</w:t>
            </w:r>
          </w:p>
        </w:tc>
      </w:tr>
      <w:tr w:rsidR="008F6B68" w14:paraId="7FC56999" w14:textId="77777777">
        <w:trPr>
          <w:jc w:val="center"/>
        </w:trPr>
        <w:tc>
          <w:tcPr>
            <w:tcW w:w="1200" w:type="dxa"/>
            <w:vAlign w:val="center"/>
          </w:tcPr>
          <w:p w14:paraId="11D38C88" w14:textId="77777777" w:rsidR="008F6B68" w:rsidRDefault="00000000">
            <w:pPr>
              <w:pStyle w:val="aff9"/>
              <w:ind w:firstLineChars="0" w:firstLine="0"/>
              <w:jc w:val="center"/>
              <w:rPr>
                <w:rFonts w:hAnsi="宋体" w:cs="宋体" w:hint="eastAsia"/>
                <w:szCs w:val="21"/>
              </w:rPr>
            </w:pPr>
            <w:r>
              <w:rPr>
                <w:rFonts w:hAnsi="宋体" w:cs="宋体" w:hint="eastAsia"/>
                <w:szCs w:val="21"/>
              </w:rPr>
              <w:t>TBS</w:t>
            </w:r>
          </w:p>
        </w:tc>
        <w:tc>
          <w:tcPr>
            <w:tcW w:w="7262" w:type="dxa"/>
          </w:tcPr>
          <w:p w14:paraId="7BC2EB2F" w14:textId="77777777" w:rsidR="008F6B68" w:rsidRDefault="00000000">
            <w:pPr>
              <w:pStyle w:val="aff9"/>
              <w:ind w:firstLineChars="0" w:firstLine="0"/>
              <w:rPr>
                <w:rFonts w:hAnsi="宋体" w:cs="宋体" w:hint="eastAsia"/>
                <w:szCs w:val="21"/>
              </w:rPr>
            </w:pPr>
            <w:r>
              <w:rPr>
                <w:rFonts w:hAnsi="宋体" w:cs="宋体" w:hint="eastAsia"/>
                <w:szCs w:val="21"/>
              </w:rPr>
              <w:t>旁排阀压力设定值调节</w:t>
            </w:r>
          </w:p>
        </w:tc>
      </w:tr>
      <w:tr w:rsidR="008F6B68" w14:paraId="3B75A8D1" w14:textId="77777777">
        <w:trPr>
          <w:jc w:val="center"/>
        </w:trPr>
        <w:tc>
          <w:tcPr>
            <w:tcW w:w="1200" w:type="dxa"/>
            <w:vAlign w:val="center"/>
          </w:tcPr>
          <w:p w14:paraId="537118C7" w14:textId="77777777" w:rsidR="008F6B68" w:rsidRDefault="00000000">
            <w:pPr>
              <w:pStyle w:val="aff9"/>
              <w:ind w:firstLineChars="0" w:firstLine="0"/>
              <w:jc w:val="center"/>
              <w:rPr>
                <w:rFonts w:hAnsi="宋体" w:cs="宋体" w:hint="eastAsia"/>
                <w:szCs w:val="21"/>
              </w:rPr>
            </w:pPr>
            <w:r>
              <w:rPr>
                <w:rFonts w:hAnsi="宋体" w:cs="宋体" w:hint="eastAsia"/>
                <w:szCs w:val="21"/>
              </w:rPr>
              <w:lastRenderedPageBreak/>
              <w:t>FWS</w:t>
            </w:r>
          </w:p>
        </w:tc>
        <w:tc>
          <w:tcPr>
            <w:tcW w:w="7262" w:type="dxa"/>
          </w:tcPr>
          <w:p w14:paraId="34D0706C" w14:textId="77777777" w:rsidR="008F6B68" w:rsidRDefault="00000000">
            <w:pPr>
              <w:pStyle w:val="aff9"/>
              <w:ind w:firstLineChars="0" w:firstLine="0"/>
              <w:rPr>
                <w:rFonts w:hAnsi="宋体" w:cs="宋体" w:hint="eastAsia"/>
                <w:szCs w:val="21"/>
              </w:rPr>
            </w:pPr>
            <w:r>
              <w:rPr>
                <w:rFonts w:hAnsi="宋体" w:cs="宋体" w:hint="eastAsia"/>
                <w:szCs w:val="21"/>
              </w:rPr>
              <w:t>启动给水泵启停、主给水泵启动</w:t>
            </w:r>
          </w:p>
        </w:tc>
      </w:tr>
      <w:tr w:rsidR="008F6B68" w14:paraId="1B09B4F9" w14:textId="77777777">
        <w:trPr>
          <w:jc w:val="center"/>
        </w:trPr>
        <w:tc>
          <w:tcPr>
            <w:tcW w:w="1200" w:type="dxa"/>
            <w:vAlign w:val="center"/>
          </w:tcPr>
          <w:p w14:paraId="2BDA1BA4" w14:textId="77777777" w:rsidR="008F6B68" w:rsidRDefault="00000000">
            <w:pPr>
              <w:pStyle w:val="aff9"/>
              <w:ind w:firstLineChars="0" w:firstLine="0"/>
              <w:jc w:val="center"/>
              <w:rPr>
                <w:rFonts w:hAnsi="宋体" w:cs="宋体" w:hint="eastAsia"/>
                <w:szCs w:val="21"/>
              </w:rPr>
            </w:pPr>
            <w:r>
              <w:rPr>
                <w:rFonts w:hAnsi="宋体" w:cs="宋体" w:hint="eastAsia"/>
                <w:szCs w:val="21"/>
              </w:rPr>
              <w:t>CDS</w:t>
            </w:r>
          </w:p>
        </w:tc>
        <w:tc>
          <w:tcPr>
            <w:tcW w:w="7262" w:type="dxa"/>
          </w:tcPr>
          <w:p w14:paraId="69632184" w14:textId="77777777" w:rsidR="008F6B68" w:rsidRDefault="00000000">
            <w:pPr>
              <w:pStyle w:val="aff9"/>
              <w:ind w:firstLineChars="0" w:firstLine="0"/>
              <w:rPr>
                <w:rFonts w:hAnsi="宋体" w:cs="宋体" w:hint="eastAsia"/>
                <w:szCs w:val="21"/>
              </w:rPr>
            </w:pPr>
            <w:r>
              <w:rPr>
                <w:rFonts w:hAnsi="宋体" w:cs="宋体" w:hint="eastAsia"/>
                <w:szCs w:val="21"/>
              </w:rPr>
              <w:t>除氧器水箱水位恢复自动或手动控制</w:t>
            </w:r>
          </w:p>
        </w:tc>
      </w:tr>
      <w:tr w:rsidR="008F6B68" w14:paraId="16F9A996" w14:textId="77777777">
        <w:trPr>
          <w:jc w:val="center"/>
        </w:trPr>
        <w:tc>
          <w:tcPr>
            <w:tcW w:w="1200" w:type="dxa"/>
            <w:vAlign w:val="center"/>
          </w:tcPr>
          <w:p w14:paraId="5E707D23" w14:textId="77777777" w:rsidR="008F6B68" w:rsidRDefault="00000000">
            <w:pPr>
              <w:pStyle w:val="aff9"/>
              <w:ind w:firstLineChars="0" w:firstLine="0"/>
              <w:jc w:val="center"/>
              <w:rPr>
                <w:rFonts w:hAnsi="宋体" w:cs="宋体" w:hint="eastAsia"/>
                <w:szCs w:val="21"/>
              </w:rPr>
            </w:pPr>
            <w:r>
              <w:rPr>
                <w:rFonts w:hAnsi="宋体" w:cs="宋体" w:hint="eastAsia"/>
                <w:szCs w:val="21"/>
              </w:rPr>
              <w:t>ASS</w:t>
            </w:r>
          </w:p>
        </w:tc>
        <w:tc>
          <w:tcPr>
            <w:tcW w:w="7262" w:type="dxa"/>
          </w:tcPr>
          <w:p w14:paraId="1C7D88E6" w14:textId="77777777" w:rsidR="008F6B68" w:rsidRDefault="00000000">
            <w:pPr>
              <w:pStyle w:val="aff9"/>
              <w:ind w:firstLineChars="0" w:firstLine="0"/>
              <w:rPr>
                <w:rFonts w:hAnsi="宋体" w:cs="宋体" w:hint="eastAsia"/>
                <w:szCs w:val="21"/>
              </w:rPr>
            </w:pPr>
            <w:r>
              <w:rPr>
                <w:rFonts w:hAnsi="宋体" w:cs="宋体" w:hint="eastAsia"/>
                <w:szCs w:val="21"/>
              </w:rPr>
              <w:t>辅助蒸汽负荷切换</w:t>
            </w:r>
          </w:p>
        </w:tc>
      </w:tr>
    </w:tbl>
    <w:p w14:paraId="02EBA4A8" w14:textId="77777777" w:rsidR="008F6B68" w:rsidRDefault="008F6B68">
      <w:pPr>
        <w:pStyle w:val="aff9"/>
        <w:ind w:firstLineChars="0" w:firstLine="0"/>
        <w:rPr>
          <w:rFonts w:hAnsi="宋体" w:cs="宋体" w:hint="eastAsia"/>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71"/>
        <w:gridCol w:w="7244"/>
      </w:tblGrid>
      <w:tr w:rsidR="008F6B68" w14:paraId="343DA7CB" w14:textId="77777777">
        <w:trPr>
          <w:trHeight w:val="278"/>
          <w:jc w:val="center"/>
        </w:trPr>
        <w:tc>
          <w:tcPr>
            <w:tcW w:w="8415" w:type="dxa"/>
            <w:gridSpan w:val="2"/>
            <w:tcBorders>
              <w:top w:val="single" w:sz="4" w:space="0" w:color="000000"/>
              <w:left w:val="single" w:sz="4" w:space="0" w:color="000000"/>
              <w:bottom w:val="single" w:sz="4" w:space="0" w:color="000000"/>
              <w:right w:val="single" w:sz="4" w:space="0" w:color="000000"/>
            </w:tcBorders>
            <w:vAlign w:val="center"/>
          </w:tcPr>
          <w:p w14:paraId="2518673F" w14:textId="77777777" w:rsidR="008F6B68" w:rsidRDefault="00000000">
            <w:pPr>
              <w:pStyle w:val="affa"/>
              <w:widowControl/>
              <w:autoSpaceDE w:val="0"/>
              <w:autoSpaceDN w:val="0"/>
              <w:spacing w:beforeAutospacing="0" w:afterAutospacing="0"/>
              <w:jc w:val="center"/>
              <w:rPr>
                <w:rFonts w:ascii="宋体" w:hAnsi="宋体" w:cs="宋体" w:hint="eastAsia"/>
                <w:sz w:val="21"/>
                <w:szCs w:val="21"/>
              </w:rPr>
            </w:pPr>
            <w:r>
              <w:rPr>
                <w:rFonts w:ascii="宋体" w:hAnsi="宋体" w:cs="宋体" w:hint="eastAsia"/>
                <w:sz w:val="21"/>
                <w:szCs w:val="21"/>
                <w:lang w:bidi="ar"/>
              </w:rPr>
              <w:t>适用于EPR系列机组</w:t>
            </w:r>
          </w:p>
        </w:tc>
      </w:tr>
      <w:tr w:rsidR="008F6B68" w14:paraId="6AA7CEF3" w14:textId="77777777">
        <w:trPr>
          <w:trHeight w:val="90"/>
          <w:jc w:val="center"/>
        </w:trPr>
        <w:tc>
          <w:tcPr>
            <w:tcW w:w="1171" w:type="dxa"/>
            <w:tcBorders>
              <w:top w:val="single" w:sz="4" w:space="0" w:color="000000"/>
              <w:left w:val="single" w:sz="4" w:space="0" w:color="000000"/>
              <w:bottom w:val="single" w:sz="4" w:space="0" w:color="000000"/>
              <w:right w:val="single" w:sz="4" w:space="0" w:color="000000"/>
            </w:tcBorders>
            <w:vAlign w:val="center"/>
          </w:tcPr>
          <w:p w14:paraId="3C5AE14D" w14:textId="77777777" w:rsidR="008F6B68" w:rsidRDefault="00000000">
            <w:pPr>
              <w:pStyle w:val="affa"/>
              <w:widowControl/>
              <w:autoSpaceDE w:val="0"/>
              <w:autoSpaceDN w:val="0"/>
              <w:spacing w:beforeAutospacing="0" w:afterAutospacing="0"/>
              <w:jc w:val="center"/>
              <w:rPr>
                <w:rFonts w:ascii="宋体" w:hAnsi="宋体" w:cs="宋体" w:hint="eastAsia"/>
                <w:sz w:val="21"/>
                <w:szCs w:val="21"/>
              </w:rPr>
            </w:pPr>
            <w:r>
              <w:rPr>
                <w:rFonts w:ascii="宋体" w:hAnsi="宋体" w:cs="宋体" w:hint="eastAsia"/>
                <w:sz w:val="21"/>
                <w:szCs w:val="21"/>
                <w:lang w:bidi="ar"/>
              </w:rPr>
              <w:t>系统或设备</w:t>
            </w:r>
          </w:p>
        </w:tc>
        <w:tc>
          <w:tcPr>
            <w:tcW w:w="7244" w:type="dxa"/>
            <w:tcBorders>
              <w:top w:val="single" w:sz="4" w:space="0" w:color="000000"/>
              <w:left w:val="single" w:sz="4" w:space="0" w:color="000000"/>
              <w:bottom w:val="single" w:sz="4" w:space="0" w:color="000000"/>
              <w:right w:val="single" w:sz="4" w:space="0" w:color="000000"/>
            </w:tcBorders>
            <w:vAlign w:val="center"/>
          </w:tcPr>
          <w:p w14:paraId="0582168D" w14:textId="77777777" w:rsidR="008F6B68" w:rsidRDefault="00000000">
            <w:pPr>
              <w:pStyle w:val="affa"/>
              <w:widowControl/>
              <w:autoSpaceDE w:val="0"/>
              <w:autoSpaceDN w:val="0"/>
              <w:spacing w:beforeAutospacing="0" w:afterAutospacing="0"/>
              <w:jc w:val="center"/>
              <w:rPr>
                <w:rFonts w:ascii="宋体" w:hAnsi="宋体" w:cs="宋体" w:hint="eastAsia"/>
                <w:sz w:val="21"/>
                <w:szCs w:val="21"/>
              </w:rPr>
            </w:pPr>
            <w:r>
              <w:rPr>
                <w:rFonts w:ascii="宋体" w:hAnsi="宋体" w:cs="宋体" w:hint="eastAsia"/>
                <w:sz w:val="21"/>
                <w:szCs w:val="21"/>
                <w:lang w:bidi="ar"/>
              </w:rPr>
              <w:t>功能</w:t>
            </w:r>
          </w:p>
        </w:tc>
      </w:tr>
      <w:tr w:rsidR="008F6B68" w14:paraId="70B186F5" w14:textId="77777777">
        <w:trPr>
          <w:trHeight w:val="90"/>
          <w:jc w:val="center"/>
        </w:trPr>
        <w:tc>
          <w:tcPr>
            <w:tcW w:w="1171" w:type="dxa"/>
            <w:tcBorders>
              <w:top w:val="single" w:sz="4" w:space="0" w:color="000000"/>
              <w:left w:val="single" w:sz="4" w:space="0" w:color="000000"/>
              <w:bottom w:val="single" w:sz="4" w:space="0" w:color="000000"/>
              <w:right w:val="single" w:sz="4" w:space="0" w:color="000000"/>
            </w:tcBorders>
            <w:vAlign w:val="center"/>
          </w:tcPr>
          <w:p w14:paraId="42BB352A"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RPR</w:t>
            </w:r>
          </w:p>
        </w:tc>
        <w:tc>
          <w:tcPr>
            <w:tcW w:w="7244" w:type="dxa"/>
            <w:tcBorders>
              <w:top w:val="single" w:sz="4" w:space="0" w:color="000000"/>
              <w:left w:val="single" w:sz="4" w:space="0" w:color="000000"/>
              <w:bottom w:val="single" w:sz="4" w:space="0" w:color="000000"/>
              <w:right w:val="single" w:sz="4" w:space="0" w:color="000000"/>
            </w:tcBorders>
            <w:vAlign w:val="center"/>
          </w:tcPr>
          <w:p w14:paraId="22F373E3" w14:textId="77777777" w:rsidR="008F6B68" w:rsidRDefault="00000000">
            <w:pPr>
              <w:widowControl/>
              <w:ind w:leftChars="38" w:left="80" w:rightChars="44" w:right="92"/>
              <w:jc w:val="left"/>
              <w:textAlignment w:val="center"/>
              <w:rPr>
                <w:rFonts w:ascii="宋体" w:hAnsi="宋体" w:cs="宋体" w:hint="eastAsia"/>
                <w:szCs w:val="21"/>
              </w:rPr>
            </w:pPr>
            <w:r>
              <w:rPr>
                <w:rFonts w:ascii="宋体" w:hAnsi="宋体" w:cs="宋体" w:hint="eastAsia"/>
                <w:color w:val="000000"/>
                <w:kern w:val="0"/>
                <w:szCs w:val="21"/>
                <w:lang w:bidi="ar"/>
              </w:rPr>
              <w:t>实现从事故后达到或维持安全状态</w:t>
            </w:r>
          </w:p>
        </w:tc>
      </w:tr>
      <w:tr w:rsidR="008F6B68" w14:paraId="025C63E1" w14:textId="77777777">
        <w:trPr>
          <w:trHeight w:val="90"/>
          <w:jc w:val="center"/>
        </w:trPr>
        <w:tc>
          <w:tcPr>
            <w:tcW w:w="1171" w:type="dxa"/>
            <w:tcBorders>
              <w:top w:val="single" w:sz="4" w:space="0" w:color="000000"/>
              <w:left w:val="single" w:sz="4" w:space="0" w:color="000000"/>
              <w:bottom w:val="single" w:sz="4" w:space="0" w:color="000000"/>
              <w:right w:val="single" w:sz="4" w:space="0" w:color="000000"/>
            </w:tcBorders>
            <w:vAlign w:val="center"/>
          </w:tcPr>
          <w:p w14:paraId="65934762"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RIS/RHR</w:t>
            </w:r>
          </w:p>
        </w:tc>
        <w:tc>
          <w:tcPr>
            <w:tcW w:w="7244" w:type="dxa"/>
            <w:tcBorders>
              <w:top w:val="single" w:sz="4" w:space="0" w:color="000000"/>
              <w:left w:val="single" w:sz="4" w:space="0" w:color="000000"/>
              <w:bottom w:val="single" w:sz="4" w:space="0" w:color="000000"/>
              <w:right w:val="single" w:sz="4" w:space="0" w:color="000000"/>
            </w:tcBorders>
            <w:vAlign w:val="center"/>
          </w:tcPr>
          <w:p w14:paraId="5E266779" w14:textId="77777777" w:rsidR="008F6B68" w:rsidRDefault="00000000">
            <w:pPr>
              <w:widowControl/>
              <w:ind w:leftChars="38" w:left="80" w:rightChars="44" w:right="92"/>
              <w:jc w:val="left"/>
              <w:textAlignment w:val="center"/>
              <w:rPr>
                <w:rFonts w:ascii="宋体" w:hAnsi="宋体" w:cs="宋体" w:hint="eastAsia"/>
                <w:szCs w:val="21"/>
              </w:rPr>
            </w:pPr>
            <w:r>
              <w:rPr>
                <w:rFonts w:ascii="宋体" w:hAnsi="宋体" w:cs="宋体" w:hint="eastAsia"/>
                <w:color w:val="000000"/>
                <w:kern w:val="0"/>
                <w:szCs w:val="21"/>
                <w:lang w:bidi="ar"/>
              </w:rPr>
              <w:t>中压安注大流量分流管线关闭、安注罐注入、低压安注冷端注入、低压安注热短注入、中压安注大流量风流管线开启时注入、RIS-RHR启动和连接、RIS-RHR注入管线隔离、安注罐隔离、中压安注就地停运、IRWST冷却、RIS安全壳隔离、RIS/RCV低压下泄管线隔离、减流量模式RIS-RHR启动和连接</w:t>
            </w:r>
          </w:p>
        </w:tc>
      </w:tr>
      <w:tr w:rsidR="008F6B68" w14:paraId="5BCE7CAE" w14:textId="77777777">
        <w:trPr>
          <w:trHeight w:val="90"/>
          <w:jc w:val="center"/>
        </w:trPr>
        <w:tc>
          <w:tcPr>
            <w:tcW w:w="1171" w:type="dxa"/>
            <w:tcBorders>
              <w:top w:val="single" w:sz="4" w:space="0" w:color="000000"/>
              <w:left w:val="single" w:sz="4" w:space="0" w:color="000000"/>
              <w:bottom w:val="single" w:sz="4" w:space="0" w:color="000000"/>
              <w:right w:val="single" w:sz="4" w:space="0" w:color="000000"/>
            </w:tcBorders>
            <w:vAlign w:val="center"/>
          </w:tcPr>
          <w:p w14:paraId="2D7056D4"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ARE</w:t>
            </w:r>
          </w:p>
        </w:tc>
        <w:tc>
          <w:tcPr>
            <w:tcW w:w="7244" w:type="dxa"/>
            <w:tcBorders>
              <w:top w:val="single" w:sz="4" w:space="0" w:color="000000"/>
              <w:left w:val="single" w:sz="4" w:space="0" w:color="000000"/>
              <w:bottom w:val="single" w:sz="4" w:space="0" w:color="000000"/>
              <w:right w:val="single" w:sz="4" w:space="0" w:color="000000"/>
            </w:tcBorders>
            <w:vAlign w:val="center"/>
          </w:tcPr>
          <w:p w14:paraId="49BFBD50" w14:textId="77777777" w:rsidR="008F6B68" w:rsidRDefault="00000000">
            <w:pPr>
              <w:widowControl/>
              <w:ind w:leftChars="38" w:left="80" w:rightChars="44" w:right="92"/>
              <w:jc w:val="left"/>
              <w:textAlignment w:val="center"/>
              <w:rPr>
                <w:rFonts w:ascii="宋体" w:hAnsi="宋体" w:cs="宋体" w:hint="eastAsia"/>
                <w:szCs w:val="21"/>
              </w:rPr>
            </w:pPr>
            <w:r>
              <w:rPr>
                <w:rFonts w:ascii="宋体" w:hAnsi="宋体" w:cs="宋体" w:hint="eastAsia"/>
                <w:color w:val="000000"/>
                <w:kern w:val="0"/>
                <w:szCs w:val="21"/>
                <w:lang w:bidi="ar"/>
              </w:rPr>
              <w:t xml:space="preserve">大流量管线隔离、小流量管线隔离、蒸汽发生器隔离 </w:t>
            </w:r>
          </w:p>
        </w:tc>
      </w:tr>
      <w:tr w:rsidR="008F6B68" w14:paraId="26B5BA65" w14:textId="77777777">
        <w:trPr>
          <w:trHeight w:val="90"/>
          <w:jc w:val="center"/>
        </w:trPr>
        <w:tc>
          <w:tcPr>
            <w:tcW w:w="1171" w:type="dxa"/>
            <w:tcBorders>
              <w:top w:val="single" w:sz="4" w:space="0" w:color="000000"/>
              <w:left w:val="single" w:sz="4" w:space="0" w:color="000000"/>
              <w:bottom w:val="single" w:sz="4" w:space="0" w:color="000000"/>
              <w:right w:val="single" w:sz="4" w:space="0" w:color="000000"/>
            </w:tcBorders>
            <w:vAlign w:val="center"/>
          </w:tcPr>
          <w:p w14:paraId="1B91F827"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VVP</w:t>
            </w:r>
          </w:p>
        </w:tc>
        <w:tc>
          <w:tcPr>
            <w:tcW w:w="7244" w:type="dxa"/>
            <w:tcBorders>
              <w:top w:val="single" w:sz="4" w:space="0" w:color="000000"/>
              <w:left w:val="single" w:sz="4" w:space="0" w:color="000000"/>
              <w:bottom w:val="single" w:sz="4" w:space="0" w:color="000000"/>
              <w:right w:val="single" w:sz="4" w:space="0" w:color="000000"/>
            </w:tcBorders>
            <w:vAlign w:val="center"/>
          </w:tcPr>
          <w:p w14:paraId="49E9BAF2" w14:textId="77777777" w:rsidR="008F6B68" w:rsidRDefault="00000000">
            <w:pPr>
              <w:widowControl/>
              <w:ind w:leftChars="38" w:left="80" w:rightChars="44" w:right="92"/>
              <w:jc w:val="left"/>
              <w:textAlignment w:val="center"/>
              <w:rPr>
                <w:rFonts w:ascii="宋体" w:hAnsi="宋体" w:cs="宋体" w:hint="eastAsia"/>
                <w:szCs w:val="21"/>
              </w:rPr>
            </w:pPr>
            <w:r>
              <w:rPr>
                <w:rFonts w:ascii="宋体" w:hAnsi="宋体" w:cs="宋体" w:hint="eastAsia"/>
                <w:color w:val="000000"/>
                <w:kern w:val="0"/>
                <w:szCs w:val="21"/>
                <w:lang w:bidi="ar"/>
              </w:rPr>
              <w:t>主蒸汽管线隔离、主蒸汽管线旁路阀开启</w:t>
            </w:r>
          </w:p>
        </w:tc>
      </w:tr>
      <w:tr w:rsidR="008F6B68" w14:paraId="456FEF2A" w14:textId="77777777">
        <w:trPr>
          <w:trHeight w:val="90"/>
          <w:jc w:val="center"/>
        </w:trPr>
        <w:tc>
          <w:tcPr>
            <w:tcW w:w="1171" w:type="dxa"/>
            <w:tcBorders>
              <w:top w:val="single" w:sz="4" w:space="0" w:color="000000"/>
              <w:left w:val="single" w:sz="4" w:space="0" w:color="000000"/>
              <w:bottom w:val="single" w:sz="4" w:space="0" w:color="000000"/>
              <w:right w:val="single" w:sz="4" w:space="0" w:color="000000"/>
            </w:tcBorders>
            <w:vAlign w:val="center"/>
          </w:tcPr>
          <w:p w14:paraId="24BC7E6C"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ASG</w:t>
            </w:r>
          </w:p>
        </w:tc>
        <w:tc>
          <w:tcPr>
            <w:tcW w:w="7244" w:type="dxa"/>
            <w:tcBorders>
              <w:top w:val="single" w:sz="4" w:space="0" w:color="000000"/>
              <w:left w:val="single" w:sz="4" w:space="0" w:color="000000"/>
              <w:bottom w:val="single" w:sz="4" w:space="0" w:color="000000"/>
              <w:right w:val="single" w:sz="4" w:space="0" w:color="000000"/>
            </w:tcBorders>
            <w:vAlign w:val="center"/>
          </w:tcPr>
          <w:p w14:paraId="6E4AC4E1" w14:textId="77777777" w:rsidR="008F6B68" w:rsidRDefault="00000000">
            <w:pPr>
              <w:widowControl/>
              <w:ind w:leftChars="38" w:left="80" w:rightChars="44" w:right="92"/>
              <w:jc w:val="left"/>
              <w:textAlignment w:val="center"/>
              <w:rPr>
                <w:rFonts w:ascii="宋体" w:hAnsi="宋体" w:cs="宋体" w:hint="eastAsia"/>
                <w:szCs w:val="21"/>
              </w:rPr>
            </w:pPr>
            <w:r>
              <w:rPr>
                <w:rFonts w:ascii="宋体" w:hAnsi="宋体" w:cs="宋体" w:hint="eastAsia"/>
                <w:color w:val="000000"/>
                <w:kern w:val="0"/>
                <w:szCs w:val="21"/>
                <w:lang w:bidi="ar"/>
              </w:rPr>
              <w:t>ASG再注入</w:t>
            </w:r>
          </w:p>
        </w:tc>
      </w:tr>
      <w:tr w:rsidR="008F6B68" w14:paraId="4FB26BF5" w14:textId="77777777">
        <w:trPr>
          <w:trHeight w:val="90"/>
          <w:jc w:val="center"/>
        </w:trPr>
        <w:tc>
          <w:tcPr>
            <w:tcW w:w="1171" w:type="dxa"/>
            <w:tcBorders>
              <w:top w:val="single" w:sz="4" w:space="0" w:color="000000"/>
              <w:left w:val="single" w:sz="4" w:space="0" w:color="000000"/>
              <w:bottom w:val="single" w:sz="4" w:space="0" w:color="000000"/>
              <w:right w:val="single" w:sz="4" w:space="0" w:color="000000"/>
            </w:tcBorders>
            <w:vAlign w:val="center"/>
          </w:tcPr>
          <w:p w14:paraId="7236E8CF"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RCP</w:t>
            </w:r>
          </w:p>
        </w:tc>
        <w:tc>
          <w:tcPr>
            <w:tcW w:w="7244" w:type="dxa"/>
            <w:tcBorders>
              <w:top w:val="single" w:sz="4" w:space="0" w:color="000000"/>
              <w:left w:val="single" w:sz="4" w:space="0" w:color="000000"/>
              <w:bottom w:val="single" w:sz="4" w:space="0" w:color="000000"/>
              <w:right w:val="single" w:sz="4" w:space="0" w:color="000000"/>
            </w:tcBorders>
            <w:vAlign w:val="center"/>
          </w:tcPr>
          <w:p w14:paraId="3F8E4323" w14:textId="77777777" w:rsidR="008F6B68" w:rsidRDefault="00000000">
            <w:pPr>
              <w:widowControl/>
              <w:ind w:leftChars="38" w:left="80" w:rightChars="44" w:right="92"/>
              <w:jc w:val="left"/>
              <w:textAlignment w:val="center"/>
              <w:rPr>
                <w:rFonts w:ascii="宋体" w:hAnsi="宋体" w:cs="宋体" w:hint="eastAsia"/>
                <w:szCs w:val="21"/>
              </w:rPr>
            </w:pPr>
            <w:r>
              <w:rPr>
                <w:rFonts w:ascii="宋体" w:hAnsi="宋体" w:cs="宋体" w:hint="eastAsia"/>
                <w:color w:val="000000"/>
                <w:kern w:val="0"/>
                <w:szCs w:val="21"/>
                <w:lang w:bidi="ar"/>
              </w:rPr>
              <w:t>PZR正常喷淋启动、稳压器加热器停运、稳压器安全阀开启/关闭、主泵停运、RCP的RCPB隔离（SI信号）、主泵1号密封泄漏导向IRWST</w:t>
            </w:r>
          </w:p>
        </w:tc>
      </w:tr>
      <w:tr w:rsidR="008F6B68" w14:paraId="478B4FA4" w14:textId="77777777">
        <w:trPr>
          <w:trHeight w:val="90"/>
          <w:jc w:val="center"/>
        </w:trPr>
        <w:tc>
          <w:tcPr>
            <w:tcW w:w="1171" w:type="dxa"/>
            <w:tcBorders>
              <w:top w:val="single" w:sz="4" w:space="0" w:color="000000"/>
              <w:left w:val="single" w:sz="4" w:space="0" w:color="000000"/>
              <w:bottom w:val="single" w:sz="4" w:space="0" w:color="000000"/>
              <w:right w:val="single" w:sz="4" w:space="0" w:color="000000"/>
            </w:tcBorders>
            <w:vAlign w:val="center"/>
          </w:tcPr>
          <w:p w14:paraId="0AE47278"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RCV</w:t>
            </w:r>
          </w:p>
        </w:tc>
        <w:tc>
          <w:tcPr>
            <w:tcW w:w="7244" w:type="dxa"/>
            <w:tcBorders>
              <w:top w:val="single" w:sz="4" w:space="0" w:color="000000"/>
              <w:left w:val="single" w:sz="4" w:space="0" w:color="000000"/>
              <w:bottom w:val="single" w:sz="4" w:space="0" w:color="000000"/>
              <w:right w:val="single" w:sz="4" w:space="0" w:color="000000"/>
            </w:tcBorders>
            <w:vAlign w:val="center"/>
          </w:tcPr>
          <w:p w14:paraId="79081E9C" w14:textId="77777777" w:rsidR="008F6B68" w:rsidRDefault="00000000">
            <w:pPr>
              <w:widowControl/>
              <w:ind w:leftChars="38" w:left="80" w:rightChars="44" w:right="92"/>
              <w:jc w:val="left"/>
              <w:textAlignment w:val="center"/>
              <w:rPr>
                <w:rFonts w:ascii="宋体" w:hAnsi="宋体" w:cs="宋体" w:hint="eastAsia"/>
                <w:szCs w:val="21"/>
              </w:rPr>
            </w:pPr>
            <w:r>
              <w:rPr>
                <w:rFonts w:ascii="宋体" w:hAnsi="宋体" w:cs="宋体" w:hint="eastAsia"/>
                <w:color w:val="000000"/>
                <w:kern w:val="0"/>
                <w:szCs w:val="21"/>
                <w:lang w:bidi="ar"/>
              </w:rPr>
              <w:t>容控箱和加氢站隔离、上充管线隔离、RCV高压下泄管线隔离（RCPB隔离）、主泵1号轴封注入隔离</w:t>
            </w:r>
          </w:p>
        </w:tc>
      </w:tr>
      <w:tr w:rsidR="008F6B68" w14:paraId="77C545B2" w14:textId="77777777">
        <w:trPr>
          <w:trHeight w:val="90"/>
          <w:jc w:val="center"/>
        </w:trPr>
        <w:tc>
          <w:tcPr>
            <w:tcW w:w="1171" w:type="dxa"/>
            <w:tcBorders>
              <w:top w:val="single" w:sz="4" w:space="0" w:color="000000"/>
              <w:left w:val="single" w:sz="4" w:space="0" w:color="000000"/>
              <w:bottom w:val="single" w:sz="4" w:space="0" w:color="000000"/>
              <w:right w:val="single" w:sz="4" w:space="0" w:color="000000"/>
            </w:tcBorders>
            <w:vAlign w:val="center"/>
          </w:tcPr>
          <w:p w14:paraId="467B21EA"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APG</w:t>
            </w:r>
          </w:p>
        </w:tc>
        <w:tc>
          <w:tcPr>
            <w:tcW w:w="7244" w:type="dxa"/>
            <w:tcBorders>
              <w:top w:val="single" w:sz="4" w:space="0" w:color="000000"/>
              <w:left w:val="single" w:sz="4" w:space="0" w:color="000000"/>
              <w:bottom w:val="single" w:sz="4" w:space="0" w:color="000000"/>
              <w:right w:val="single" w:sz="4" w:space="0" w:color="000000"/>
            </w:tcBorders>
            <w:vAlign w:val="center"/>
          </w:tcPr>
          <w:p w14:paraId="7CD0F7F4" w14:textId="77777777" w:rsidR="008F6B68" w:rsidRDefault="00000000">
            <w:pPr>
              <w:widowControl/>
              <w:ind w:leftChars="38" w:left="80" w:rightChars="44" w:right="92"/>
              <w:jc w:val="left"/>
              <w:textAlignment w:val="center"/>
              <w:rPr>
                <w:rFonts w:ascii="宋体" w:hAnsi="宋体" w:cs="宋体" w:hint="eastAsia"/>
                <w:szCs w:val="21"/>
              </w:rPr>
            </w:pPr>
            <w:r>
              <w:rPr>
                <w:rFonts w:ascii="宋体" w:hAnsi="宋体" w:cs="宋体" w:hint="eastAsia"/>
                <w:color w:val="000000"/>
                <w:kern w:val="0"/>
                <w:szCs w:val="21"/>
                <w:lang w:bidi="ar"/>
              </w:rPr>
              <w:t xml:space="preserve">排污管线隔离、配对蒸汽发生器传输管线开启 </w:t>
            </w:r>
          </w:p>
        </w:tc>
      </w:tr>
      <w:tr w:rsidR="008F6B68" w14:paraId="53280FF4" w14:textId="77777777">
        <w:trPr>
          <w:trHeight w:val="90"/>
          <w:jc w:val="center"/>
        </w:trPr>
        <w:tc>
          <w:tcPr>
            <w:tcW w:w="1171" w:type="dxa"/>
            <w:tcBorders>
              <w:top w:val="single" w:sz="4" w:space="0" w:color="000000"/>
              <w:left w:val="single" w:sz="4" w:space="0" w:color="000000"/>
              <w:bottom w:val="single" w:sz="4" w:space="0" w:color="000000"/>
              <w:right w:val="single" w:sz="4" w:space="0" w:color="000000"/>
            </w:tcBorders>
            <w:vAlign w:val="center"/>
          </w:tcPr>
          <w:p w14:paraId="660FB9D1"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EPP</w:t>
            </w:r>
          </w:p>
        </w:tc>
        <w:tc>
          <w:tcPr>
            <w:tcW w:w="7244" w:type="dxa"/>
            <w:tcBorders>
              <w:top w:val="single" w:sz="4" w:space="0" w:color="000000"/>
              <w:left w:val="single" w:sz="4" w:space="0" w:color="000000"/>
              <w:bottom w:val="single" w:sz="4" w:space="0" w:color="000000"/>
              <w:right w:val="single" w:sz="4" w:space="0" w:color="000000"/>
            </w:tcBorders>
            <w:vAlign w:val="center"/>
          </w:tcPr>
          <w:p w14:paraId="04588662" w14:textId="77777777" w:rsidR="008F6B68" w:rsidRDefault="00000000">
            <w:pPr>
              <w:widowControl/>
              <w:ind w:leftChars="38" w:left="80" w:rightChars="44" w:right="92"/>
              <w:jc w:val="left"/>
              <w:textAlignment w:val="center"/>
              <w:rPr>
                <w:rFonts w:ascii="宋体" w:hAnsi="宋体" w:cs="宋体" w:hint="eastAsia"/>
                <w:szCs w:val="21"/>
              </w:rPr>
            </w:pPr>
            <w:r>
              <w:rPr>
                <w:rFonts w:ascii="宋体" w:hAnsi="宋体" w:cs="宋体" w:hint="eastAsia"/>
                <w:color w:val="000000"/>
                <w:kern w:val="0"/>
                <w:szCs w:val="21"/>
                <w:lang w:bidi="ar"/>
              </w:rPr>
              <w:t>安全壳1阶段隔离、安全壳2阶段隔离</w:t>
            </w:r>
          </w:p>
        </w:tc>
      </w:tr>
      <w:tr w:rsidR="008F6B68" w14:paraId="15507DF4" w14:textId="77777777">
        <w:trPr>
          <w:trHeight w:val="90"/>
          <w:jc w:val="center"/>
        </w:trPr>
        <w:tc>
          <w:tcPr>
            <w:tcW w:w="1171" w:type="dxa"/>
            <w:tcBorders>
              <w:top w:val="single" w:sz="4" w:space="0" w:color="000000"/>
              <w:left w:val="single" w:sz="4" w:space="0" w:color="000000"/>
              <w:bottom w:val="single" w:sz="4" w:space="0" w:color="000000"/>
              <w:right w:val="single" w:sz="4" w:space="0" w:color="000000"/>
            </w:tcBorders>
            <w:vAlign w:val="center"/>
          </w:tcPr>
          <w:p w14:paraId="42F8DFE1"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VDA</w:t>
            </w:r>
          </w:p>
        </w:tc>
        <w:tc>
          <w:tcPr>
            <w:tcW w:w="7244" w:type="dxa"/>
            <w:tcBorders>
              <w:top w:val="single" w:sz="4" w:space="0" w:color="000000"/>
              <w:left w:val="single" w:sz="4" w:space="0" w:color="000000"/>
              <w:bottom w:val="single" w:sz="4" w:space="0" w:color="000000"/>
              <w:right w:val="single" w:sz="4" w:space="0" w:color="000000"/>
            </w:tcBorders>
            <w:vAlign w:val="center"/>
          </w:tcPr>
          <w:p w14:paraId="60B18537" w14:textId="77777777" w:rsidR="008F6B68" w:rsidRDefault="00000000">
            <w:pPr>
              <w:widowControl/>
              <w:ind w:leftChars="38" w:left="80" w:rightChars="44" w:right="92"/>
              <w:jc w:val="left"/>
              <w:textAlignment w:val="center"/>
              <w:rPr>
                <w:rFonts w:ascii="宋体" w:hAnsi="宋体" w:cs="宋体" w:hint="eastAsia"/>
                <w:szCs w:val="21"/>
              </w:rPr>
            </w:pPr>
            <w:r>
              <w:rPr>
                <w:rFonts w:ascii="宋体" w:hAnsi="宋体" w:cs="宋体" w:hint="eastAsia"/>
                <w:color w:val="000000"/>
                <w:kern w:val="0"/>
                <w:szCs w:val="21"/>
                <w:lang w:bidi="ar"/>
              </w:rPr>
              <w:t>VDA隔离、蒸汽排放阀开启、VDA就地蒸汽排放阀开启/关闭、手动提高VDA整定值</w:t>
            </w:r>
          </w:p>
        </w:tc>
      </w:tr>
      <w:tr w:rsidR="008F6B68" w14:paraId="71C9B0E1" w14:textId="77777777">
        <w:trPr>
          <w:trHeight w:val="90"/>
          <w:jc w:val="center"/>
        </w:trPr>
        <w:tc>
          <w:tcPr>
            <w:tcW w:w="1171" w:type="dxa"/>
            <w:tcBorders>
              <w:top w:val="single" w:sz="4" w:space="0" w:color="000000"/>
              <w:left w:val="single" w:sz="4" w:space="0" w:color="000000"/>
              <w:bottom w:val="single" w:sz="4" w:space="0" w:color="000000"/>
              <w:right w:val="single" w:sz="4" w:space="0" w:color="000000"/>
            </w:tcBorders>
            <w:vAlign w:val="center"/>
          </w:tcPr>
          <w:p w14:paraId="4BFCAD7E"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RBS</w:t>
            </w:r>
          </w:p>
        </w:tc>
        <w:tc>
          <w:tcPr>
            <w:tcW w:w="7244" w:type="dxa"/>
            <w:tcBorders>
              <w:top w:val="single" w:sz="4" w:space="0" w:color="000000"/>
              <w:left w:val="single" w:sz="4" w:space="0" w:color="000000"/>
              <w:bottom w:val="single" w:sz="4" w:space="0" w:color="000000"/>
              <w:right w:val="single" w:sz="4" w:space="0" w:color="000000"/>
            </w:tcBorders>
            <w:vAlign w:val="center"/>
          </w:tcPr>
          <w:p w14:paraId="379888ED" w14:textId="77777777" w:rsidR="008F6B68" w:rsidRDefault="00000000">
            <w:pPr>
              <w:widowControl/>
              <w:autoSpaceDE w:val="0"/>
              <w:ind w:leftChars="38" w:left="80" w:rightChars="44" w:right="92"/>
              <w:jc w:val="left"/>
              <w:textAlignment w:val="center"/>
              <w:rPr>
                <w:rFonts w:ascii="宋体" w:hAnsi="宋体" w:cs="宋体" w:hint="eastAsia"/>
                <w:szCs w:val="21"/>
              </w:rPr>
            </w:pPr>
            <w:r>
              <w:rPr>
                <w:rFonts w:ascii="宋体" w:hAnsi="宋体" w:cs="宋体" w:hint="eastAsia"/>
                <w:color w:val="000000"/>
                <w:kern w:val="0"/>
                <w:szCs w:val="21"/>
                <w:lang w:bidi="ar"/>
              </w:rPr>
              <w:t>RBS启动、RBS的RCPB隔离（SI信号）、RBS泵吸入口可由一列切换至另一列、RBS泵注入管线可由一列切换至另一列</w:t>
            </w:r>
          </w:p>
        </w:tc>
      </w:tr>
      <w:tr w:rsidR="008F6B68" w14:paraId="77D0702E" w14:textId="77777777">
        <w:trPr>
          <w:trHeight w:val="90"/>
          <w:jc w:val="center"/>
        </w:trPr>
        <w:tc>
          <w:tcPr>
            <w:tcW w:w="1171" w:type="dxa"/>
            <w:tcBorders>
              <w:top w:val="single" w:sz="4" w:space="0" w:color="000000"/>
              <w:left w:val="single" w:sz="4" w:space="0" w:color="000000"/>
              <w:bottom w:val="single" w:sz="4" w:space="0" w:color="000000"/>
              <w:right w:val="single" w:sz="4" w:space="0" w:color="000000"/>
            </w:tcBorders>
            <w:vAlign w:val="center"/>
          </w:tcPr>
          <w:p w14:paraId="61939E33"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SEC</w:t>
            </w:r>
          </w:p>
        </w:tc>
        <w:tc>
          <w:tcPr>
            <w:tcW w:w="7244" w:type="dxa"/>
            <w:tcBorders>
              <w:top w:val="single" w:sz="4" w:space="0" w:color="000000"/>
              <w:left w:val="single" w:sz="4" w:space="0" w:color="000000"/>
              <w:bottom w:val="single" w:sz="4" w:space="0" w:color="000000"/>
              <w:right w:val="single" w:sz="4" w:space="0" w:color="000000"/>
            </w:tcBorders>
            <w:vAlign w:val="center"/>
          </w:tcPr>
          <w:p w14:paraId="7728EB1B" w14:textId="77777777" w:rsidR="008F6B68" w:rsidRDefault="00000000">
            <w:pPr>
              <w:widowControl/>
              <w:ind w:leftChars="38" w:left="80" w:rightChars="44" w:right="92"/>
              <w:jc w:val="left"/>
              <w:textAlignment w:val="center"/>
              <w:rPr>
                <w:rFonts w:ascii="宋体" w:hAnsi="宋体" w:cs="宋体" w:hint="eastAsia"/>
                <w:szCs w:val="21"/>
              </w:rPr>
            </w:pPr>
            <w:r>
              <w:rPr>
                <w:rFonts w:ascii="宋体" w:hAnsi="宋体" w:cs="宋体" w:hint="eastAsia"/>
                <w:color w:val="000000"/>
                <w:kern w:val="0"/>
                <w:szCs w:val="21"/>
                <w:lang w:bidi="ar"/>
              </w:rPr>
              <w:t>泵机械密封切至海水</w:t>
            </w:r>
          </w:p>
        </w:tc>
      </w:tr>
      <w:tr w:rsidR="008F6B68" w14:paraId="3BE72885" w14:textId="77777777">
        <w:trPr>
          <w:trHeight w:val="90"/>
          <w:jc w:val="center"/>
        </w:trPr>
        <w:tc>
          <w:tcPr>
            <w:tcW w:w="1171" w:type="dxa"/>
            <w:tcBorders>
              <w:top w:val="single" w:sz="4" w:space="0" w:color="000000"/>
              <w:left w:val="single" w:sz="4" w:space="0" w:color="000000"/>
              <w:bottom w:val="single" w:sz="4" w:space="0" w:color="000000"/>
              <w:right w:val="single" w:sz="4" w:space="0" w:color="000000"/>
            </w:tcBorders>
            <w:vAlign w:val="center"/>
          </w:tcPr>
          <w:p w14:paraId="126C7AD7"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PTR</w:t>
            </w:r>
          </w:p>
        </w:tc>
        <w:tc>
          <w:tcPr>
            <w:tcW w:w="7244" w:type="dxa"/>
            <w:tcBorders>
              <w:top w:val="single" w:sz="4" w:space="0" w:color="000000"/>
              <w:left w:val="single" w:sz="4" w:space="0" w:color="000000"/>
              <w:bottom w:val="single" w:sz="4" w:space="0" w:color="000000"/>
              <w:right w:val="single" w:sz="4" w:space="0" w:color="000000"/>
            </w:tcBorders>
            <w:vAlign w:val="center"/>
          </w:tcPr>
          <w:p w14:paraId="66B153C2" w14:textId="77777777" w:rsidR="008F6B68" w:rsidRDefault="00000000">
            <w:pPr>
              <w:widowControl/>
              <w:autoSpaceDE w:val="0"/>
              <w:ind w:leftChars="38" w:left="80" w:rightChars="44" w:right="92"/>
              <w:jc w:val="left"/>
              <w:textAlignment w:val="center"/>
              <w:rPr>
                <w:rFonts w:ascii="宋体" w:hAnsi="宋体" w:cs="宋体" w:hint="eastAsia"/>
                <w:szCs w:val="21"/>
              </w:rPr>
            </w:pPr>
            <w:r>
              <w:rPr>
                <w:rFonts w:ascii="宋体" w:hAnsi="宋体" w:cs="宋体" w:hint="eastAsia"/>
                <w:color w:val="000000"/>
                <w:kern w:val="0"/>
                <w:szCs w:val="21"/>
                <w:lang w:bidi="ar"/>
              </w:rPr>
              <w:t>主冷却列启动、应急冷却列隔离</w:t>
            </w:r>
          </w:p>
        </w:tc>
      </w:tr>
      <w:tr w:rsidR="008F6B68" w14:paraId="65E78D90" w14:textId="77777777">
        <w:trPr>
          <w:trHeight w:val="90"/>
          <w:jc w:val="center"/>
        </w:trPr>
        <w:tc>
          <w:tcPr>
            <w:tcW w:w="1171" w:type="dxa"/>
            <w:tcBorders>
              <w:top w:val="single" w:sz="4" w:space="0" w:color="000000"/>
              <w:left w:val="single" w:sz="4" w:space="0" w:color="000000"/>
              <w:bottom w:val="single" w:sz="4" w:space="0" w:color="000000"/>
              <w:right w:val="single" w:sz="4" w:space="0" w:color="000000"/>
            </w:tcBorders>
            <w:vAlign w:val="center"/>
          </w:tcPr>
          <w:p w14:paraId="2E0A5780"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REN/RES</w:t>
            </w:r>
          </w:p>
        </w:tc>
        <w:tc>
          <w:tcPr>
            <w:tcW w:w="7244" w:type="dxa"/>
            <w:tcBorders>
              <w:top w:val="single" w:sz="4" w:space="0" w:color="000000"/>
              <w:left w:val="single" w:sz="4" w:space="0" w:color="000000"/>
              <w:bottom w:val="single" w:sz="4" w:space="0" w:color="000000"/>
              <w:right w:val="single" w:sz="4" w:space="0" w:color="000000"/>
            </w:tcBorders>
            <w:vAlign w:val="center"/>
          </w:tcPr>
          <w:p w14:paraId="5DCB9387" w14:textId="77777777" w:rsidR="008F6B68" w:rsidRDefault="00000000">
            <w:pPr>
              <w:widowControl/>
              <w:autoSpaceDE w:val="0"/>
              <w:ind w:leftChars="38" w:left="80" w:rightChars="44" w:right="92"/>
              <w:jc w:val="left"/>
              <w:textAlignment w:val="center"/>
              <w:rPr>
                <w:rFonts w:ascii="宋体" w:hAnsi="宋体" w:cs="宋体" w:hint="eastAsia"/>
                <w:szCs w:val="21"/>
              </w:rPr>
            </w:pPr>
            <w:r>
              <w:rPr>
                <w:rFonts w:ascii="宋体" w:hAnsi="宋体" w:cs="宋体" w:hint="eastAsia"/>
                <w:color w:val="000000"/>
                <w:kern w:val="0"/>
                <w:szCs w:val="21"/>
                <w:lang w:bidi="ar"/>
              </w:rPr>
              <w:t>REN主回路取样管线隔离、REN热交换器防误稀释隔离、SG的RES取样管线隔离</w:t>
            </w:r>
          </w:p>
        </w:tc>
      </w:tr>
    </w:tbl>
    <w:p w14:paraId="7F2EC040" w14:textId="77777777" w:rsidR="008F6B68" w:rsidRDefault="008F6B68">
      <w:pPr>
        <w:pStyle w:val="aff9"/>
        <w:ind w:firstLineChars="0" w:firstLine="0"/>
        <w:rPr>
          <w:rFonts w:hAnsi="宋体" w:cs="宋体" w:hint="eastAsia"/>
          <w:szCs w:val="21"/>
        </w:rPr>
      </w:pPr>
    </w:p>
    <w:p w14:paraId="3F924984" w14:textId="77777777" w:rsidR="008F6B68" w:rsidRDefault="00000000">
      <w:pPr>
        <w:pStyle w:val="aff9"/>
        <w:jc w:val="center"/>
        <w:rPr>
          <w:rFonts w:hAnsi="宋体" w:cs="宋体" w:hint="eastAsia"/>
          <w:szCs w:val="21"/>
        </w:rPr>
      </w:pPr>
      <w:bookmarkStart w:id="102" w:name="_TOC_250000"/>
      <w:r>
        <w:rPr>
          <w:rFonts w:hAnsi="宋体" w:cs="宋体" w:hint="eastAsia"/>
          <w:szCs w:val="21"/>
        </w:rPr>
        <w:t>表2 监测参</w:t>
      </w:r>
      <w:bookmarkEnd w:id="102"/>
      <w:r>
        <w:rPr>
          <w:rFonts w:hAnsi="宋体" w:cs="宋体" w:hint="eastAsia"/>
          <w:szCs w:val="21"/>
        </w:rPr>
        <w:t>数</w:t>
      </w:r>
    </w:p>
    <w:tbl>
      <w:tblPr>
        <w:tblW w:w="8420" w:type="dxa"/>
        <w:tblInd w:w="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75"/>
        <w:gridCol w:w="7245"/>
      </w:tblGrid>
      <w:tr w:rsidR="008F6B68" w14:paraId="2EB1CB29" w14:textId="77777777">
        <w:trPr>
          <w:trHeight w:val="90"/>
        </w:trPr>
        <w:tc>
          <w:tcPr>
            <w:tcW w:w="8420" w:type="dxa"/>
            <w:gridSpan w:val="2"/>
            <w:vAlign w:val="center"/>
          </w:tcPr>
          <w:p w14:paraId="6A1B26F1" w14:textId="77777777" w:rsidR="008F6B68" w:rsidRDefault="00000000">
            <w:pPr>
              <w:pStyle w:val="aff9"/>
              <w:ind w:firstLineChars="0" w:firstLine="0"/>
              <w:jc w:val="center"/>
              <w:rPr>
                <w:rFonts w:hAnsi="宋体" w:cs="宋体" w:hint="eastAsia"/>
                <w:szCs w:val="21"/>
              </w:rPr>
            </w:pPr>
            <w:r>
              <w:rPr>
                <w:rFonts w:hAnsi="宋体" w:cs="宋体" w:hint="eastAsia"/>
                <w:szCs w:val="21"/>
              </w:rPr>
              <w:t>适用于M310系列机组</w:t>
            </w:r>
          </w:p>
        </w:tc>
      </w:tr>
      <w:tr w:rsidR="008F6B68" w14:paraId="013C5652" w14:textId="77777777">
        <w:trPr>
          <w:trHeight w:val="90"/>
        </w:trPr>
        <w:tc>
          <w:tcPr>
            <w:tcW w:w="1175" w:type="dxa"/>
            <w:vAlign w:val="center"/>
          </w:tcPr>
          <w:p w14:paraId="75CBB50A" w14:textId="77777777" w:rsidR="008F6B68" w:rsidRDefault="00000000">
            <w:pPr>
              <w:pStyle w:val="aff9"/>
              <w:ind w:firstLineChars="0" w:firstLine="0"/>
              <w:jc w:val="center"/>
              <w:rPr>
                <w:rFonts w:hAnsi="宋体" w:cs="宋体" w:hint="eastAsia"/>
                <w:szCs w:val="21"/>
              </w:rPr>
            </w:pPr>
            <w:r>
              <w:rPr>
                <w:rFonts w:hAnsi="宋体" w:cs="宋体" w:hint="eastAsia"/>
                <w:szCs w:val="21"/>
              </w:rPr>
              <w:t>系统或设备</w:t>
            </w:r>
          </w:p>
        </w:tc>
        <w:tc>
          <w:tcPr>
            <w:tcW w:w="7245" w:type="dxa"/>
            <w:vAlign w:val="center"/>
          </w:tcPr>
          <w:p w14:paraId="22ED35F9" w14:textId="77777777" w:rsidR="008F6B68" w:rsidRDefault="00000000">
            <w:pPr>
              <w:pStyle w:val="aff9"/>
              <w:ind w:firstLineChars="0" w:firstLine="0"/>
              <w:jc w:val="center"/>
              <w:rPr>
                <w:rFonts w:hAnsi="宋体" w:cs="宋体" w:hint="eastAsia"/>
                <w:szCs w:val="21"/>
              </w:rPr>
            </w:pPr>
            <w:r>
              <w:rPr>
                <w:rFonts w:hAnsi="宋体" w:cs="宋体" w:hint="eastAsia"/>
                <w:szCs w:val="21"/>
              </w:rPr>
              <w:t>参数</w:t>
            </w:r>
          </w:p>
        </w:tc>
      </w:tr>
      <w:tr w:rsidR="008F6B68" w14:paraId="745B06CE" w14:textId="77777777">
        <w:trPr>
          <w:trHeight w:val="90"/>
        </w:trPr>
        <w:tc>
          <w:tcPr>
            <w:tcW w:w="1175" w:type="dxa"/>
            <w:vAlign w:val="center"/>
          </w:tcPr>
          <w:p w14:paraId="02C8387F" w14:textId="77777777" w:rsidR="008F6B68" w:rsidRDefault="00000000">
            <w:pPr>
              <w:pStyle w:val="aff9"/>
              <w:ind w:firstLineChars="0" w:firstLine="0"/>
              <w:jc w:val="center"/>
              <w:rPr>
                <w:rFonts w:hAnsi="宋体" w:cs="宋体" w:hint="eastAsia"/>
                <w:szCs w:val="21"/>
              </w:rPr>
            </w:pPr>
            <w:r>
              <w:rPr>
                <w:rFonts w:hAnsi="宋体" w:cs="宋体" w:hint="eastAsia"/>
                <w:szCs w:val="21"/>
              </w:rPr>
              <w:t>RIS</w:t>
            </w:r>
          </w:p>
        </w:tc>
        <w:tc>
          <w:tcPr>
            <w:tcW w:w="7245" w:type="dxa"/>
            <w:vAlign w:val="center"/>
          </w:tcPr>
          <w:p w14:paraId="562C1629" w14:textId="77777777" w:rsidR="008F6B68" w:rsidRDefault="00000000">
            <w:pPr>
              <w:pStyle w:val="aff9"/>
              <w:ind w:leftChars="28" w:left="59" w:rightChars="45" w:right="94" w:firstLineChars="0" w:firstLine="0"/>
              <w:jc w:val="left"/>
              <w:rPr>
                <w:rFonts w:hAnsi="宋体" w:cs="宋体" w:hint="eastAsia"/>
                <w:szCs w:val="21"/>
              </w:rPr>
            </w:pPr>
            <w:r>
              <w:rPr>
                <w:rFonts w:hAnsi="宋体" w:cs="宋体" w:hint="eastAsia"/>
                <w:szCs w:val="21"/>
              </w:rPr>
              <w:t>高压安注流量、低压安注流量</w:t>
            </w:r>
          </w:p>
        </w:tc>
      </w:tr>
      <w:tr w:rsidR="008F6B68" w14:paraId="44A5670E" w14:textId="77777777">
        <w:trPr>
          <w:trHeight w:val="90"/>
        </w:trPr>
        <w:tc>
          <w:tcPr>
            <w:tcW w:w="1175" w:type="dxa"/>
            <w:vAlign w:val="center"/>
          </w:tcPr>
          <w:p w14:paraId="6321119B" w14:textId="77777777" w:rsidR="008F6B68" w:rsidRDefault="00000000">
            <w:pPr>
              <w:pStyle w:val="aff9"/>
              <w:ind w:firstLineChars="0" w:firstLine="0"/>
              <w:jc w:val="center"/>
              <w:rPr>
                <w:rFonts w:hAnsi="宋体" w:cs="宋体" w:hint="eastAsia"/>
                <w:szCs w:val="21"/>
              </w:rPr>
            </w:pPr>
            <w:r>
              <w:rPr>
                <w:rFonts w:hAnsi="宋体" w:cs="宋体" w:hint="eastAsia"/>
                <w:szCs w:val="21"/>
              </w:rPr>
              <w:t>PTR</w:t>
            </w:r>
          </w:p>
        </w:tc>
        <w:tc>
          <w:tcPr>
            <w:tcW w:w="7245" w:type="dxa"/>
            <w:vAlign w:val="center"/>
          </w:tcPr>
          <w:p w14:paraId="06AD626B" w14:textId="77777777" w:rsidR="008F6B68" w:rsidRDefault="00000000">
            <w:pPr>
              <w:pStyle w:val="aff9"/>
              <w:ind w:leftChars="28" w:left="59" w:rightChars="45" w:right="94" w:firstLineChars="0" w:firstLine="0"/>
              <w:jc w:val="left"/>
              <w:rPr>
                <w:rFonts w:hAnsi="宋体" w:cs="宋体" w:hint="eastAsia"/>
                <w:szCs w:val="21"/>
              </w:rPr>
            </w:pPr>
            <w:r>
              <w:rPr>
                <w:rFonts w:hAnsi="宋体" w:cs="宋体" w:hint="eastAsia"/>
                <w:szCs w:val="21"/>
              </w:rPr>
              <w:t>PTR水箱水位、PTR水温</w:t>
            </w:r>
          </w:p>
        </w:tc>
      </w:tr>
      <w:tr w:rsidR="008F6B68" w14:paraId="0FB2508F" w14:textId="77777777">
        <w:trPr>
          <w:trHeight w:val="90"/>
        </w:trPr>
        <w:tc>
          <w:tcPr>
            <w:tcW w:w="1175" w:type="dxa"/>
            <w:vAlign w:val="center"/>
          </w:tcPr>
          <w:p w14:paraId="186F692B" w14:textId="77777777" w:rsidR="008F6B68" w:rsidRDefault="00000000">
            <w:pPr>
              <w:pStyle w:val="aff9"/>
              <w:ind w:firstLineChars="0" w:firstLine="0"/>
              <w:jc w:val="center"/>
              <w:rPr>
                <w:rFonts w:hAnsi="宋体" w:cs="宋体" w:hint="eastAsia"/>
                <w:szCs w:val="21"/>
              </w:rPr>
            </w:pPr>
            <w:r>
              <w:rPr>
                <w:rFonts w:hAnsi="宋体" w:cs="宋体" w:hint="eastAsia"/>
                <w:szCs w:val="21"/>
              </w:rPr>
              <w:t>ASG</w:t>
            </w:r>
          </w:p>
        </w:tc>
        <w:tc>
          <w:tcPr>
            <w:tcW w:w="7245" w:type="dxa"/>
            <w:vAlign w:val="center"/>
          </w:tcPr>
          <w:p w14:paraId="05224B60" w14:textId="77777777" w:rsidR="008F6B68" w:rsidRDefault="00000000">
            <w:pPr>
              <w:pStyle w:val="aff9"/>
              <w:ind w:leftChars="28" w:left="59" w:rightChars="45" w:right="94" w:firstLineChars="0" w:firstLine="0"/>
              <w:jc w:val="left"/>
              <w:rPr>
                <w:rFonts w:hAnsi="宋体" w:cs="宋体" w:hint="eastAsia"/>
                <w:szCs w:val="21"/>
              </w:rPr>
            </w:pPr>
            <w:r>
              <w:rPr>
                <w:rFonts w:hAnsi="宋体" w:cs="宋体" w:hint="eastAsia"/>
                <w:szCs w:val="21"/>
              </w:rPr>
              <w:t>ASG流量、ASG水箱水位</w:t>
            </w:r>
          </w:p>
        </w:tc>
      </w:tr>
      <w:tr w:rsidR="008F6B68" w14:paraId="35712962" w14:textId="77777777">
        <w:trPr>
          <w:trHeight w:val="90"/>
        </w:trPr>
        <w:tc>
          <w:tcPr>
            <w:tcW w:w="1175" w:type="dxa"/>
            <w:vAlign w:val="center"/>
          </w:tcPr>
          <w:p w14:paraId="46C937A5" w14:textId="77777777" w:rsidR="008F6B68" w:rsidRDefault="00000000">
            <w:pPr>
              <w:pStyle w:val="aff9"/>
              <w:ind w:firstLineChars="0" w:firstLine="0"/>
              <w:jc w:val="center"/>
              <w:rPr>
                <w:rFonts w:hAnsi="宋体" w:cs="宋体" w:hint="eastAsia"/>
                <w:szCs w:val="21"/>
              </w:rPr>
            </w:pPr>
            <w:r>
              <w:rPr>
                <w:rFonts w:hAnsi="宋体" w:cs="宋体" w:hint="eastAsia"/>
                <w:szCs w:val="21"/>
              </w:rPr>
              <w:t>RCP</w:t>
            </w:r>
          </w:p>
        </w:tc>
        <w:tc>
          <w:tcPr>
            <w:tcW w:w="7245" w:type="dxa"/>
            <w:vAlign w:val="center"/>
          </w:tcPr>
          <w:p w14:paraId="30688989" w14:textId="77777777" w:rsidR="008F6B68" w:rsidRDefault="00000000">
            <w:pPr>
              <w:pStyle w:val="aff9"/>
              <w:ind w:leftChars="28" w:left="59" w:rightChars="45" w:right="94" w:firstLineChars="0" w:firstLine="0"/>
              <w:jc w:val="left"/>
              <w:rPr>
                <w:rFonts w:hAnsi="宋体" w:cs="宋体" w:hint="eastAsia"/>
                <w:szCs w:val="21"/>
              </w:rPr>
            </w:pPr>
            <w:r>
              <w:rPr>
                <w:rFonts w:hAnsi="宋体" w:cs="宋体" w:hint="eastAsia"/>
                <w:szCs w:val="21"/>
              </w:rPr>
              <w:t>一回路压力、稳压器压力、稳压器水位、堆芯饱和裕度、堆芯出口温度、3个环路热段温度、3个环路冷段温度、降温速率、降压速率、一回路硼浓度</w:t>
            </w:r>
          </w:p>
        </w:tc>
      </w:tr>
      <w:tr w:rsidR="008F6B68" w14:paraId="64287426" w14:textId="77777777">
        <w:trPr>
          <w:trHeight w:val="90"/>
        </w:trPr>
        <w:tc>
          <w:tcPr>
            <w:tcW w:w="1175" w:type="dxa"/>
            <w:vAlign w:val="center"/>
          </w:tcPr>
          <w:p w14:paraId="514D5B8F" w14:textId="77777777" w:rsidR="008F6B68" w:rsidRDefault="00000000">
            <w:pPr>
              <w:pStyle w:val="aff9"/>
              <w:ind w:firstLineChars="0" w:firstLine="0"/>
              <w:jc w:val="center"/>
              <w:rPr>
                <w:rFonts w:hAnsi="宋体" w:cs="宋体" w:hint="eastAsia"/>
                <w:szCs w:val="21"/>
              </w:rPr>
            </w:pPr>
            <w:r>
              <w:rPr>
                <w:rFonts w:hAnsi="宋体" w:cs="宋体" w:hint="eastAsia"/>
                <w:szCs w:val="21"/>
              </w:rPr>
              <w:t>RPN</w:t>
            </w:r>
          </w:p>
        </w:tc>
        <w:tc>
          <w:tcPr>
            <w:tcW w:w="7245" w:type="dxa"/>
            <w:vAlign w:val="center"/>
          </w:tcPr>
          <w:p w14:paraId="1FBE5751" w14:textId="77777777" w:rsidR="008F6B68" w:rsidRDefault="00000000">
            <w:pPr>
              <w:pStyle w:val="aff9"/>
              <w:ind w:leftChars="28" w:left="59" w:rightChars="45" w:right="94" w:firstLineChars="0" w:firstLine="0"/>
              <w:jc w:val="left"/>
              <w:rPr>
                <w:rFonts w:hAnsi="宋体" w:cs="宋体" w:hint="eastAsia"/>
                <w:szCs w:val="21"/>
              </w:rPr>
            </w:pPr>
            <w:r>
              <w:rPr>
                <w:rFonts w:hAnsi="宋体" w:cs="宋体" w:hint="eastAsia"/>
                <w:szCs w:val="21"/>
              </w:rPr>
              <w:t>源量程计数率、源量程音响、中间量程中子通量、功率量程中子通量、反应堆倍增周期</w:t>
            </w:r>
          </w:p>
        </w:tc>
      </w:tr>
      <w:tr w:rsidR="008F6B68" w14:paraId="7C4A5344" w14:textId="77777777">
        <w:trPr>
          <w:trHeight w:val="90"/>
        </w:trPr>
        <w:tc>
          <w:tcPr>
            <w:tcW w:w="1175" w:type="dxa"/>
            <w:vAlign w:val="center"/>
          </w:tcPr>
          <w:p w14:paraId="7EFCB8B5" w14:textId="77777777" w:rsidR="008F6B68" w:rsidRDefault="00000000">
            <w:pPr>
              <w:pStyle w:val="aff9"/>
              <w:ind w:firstLineChars="0" w:firstLine="0"/>
              <w:jc w:val="center"/>
              <w:rPr>
                <w:rFonts w:hAnsi="宋体" w:cs="宋体" w:hint="eastAsia"/>
                <w:szCs w:val="21"/>
              </w:rPr>
            </w:pPr>
            <w:r>
              <w:rPr>
                <w:rFonts w:hAnsi="宋体" w:cs="宋体" w:hint="eastAsia"/>
                <w:szCs w:val="21"/>
              </w:rPr>
              <w:t>SG</w:t>
            </w:r>
          </w:p>
        </w:tc>
        <w:tc>
          <w:tcPr>
            <w:tcW w:w="7245" w:type="dxa"/>
            <w:vAlign w:val="center"/>
          </w:tcPr>
          <w:p w14:paraId="4046EEF7" w14:textId="77777777" w:rsidR="008F6B68" w:rsidRDefault="00000000">
            <w:pPr>
              <w:pStyle w:val="aff9"/>
              <w:ind w:leftChars="28" w:left="59" w:rightChars="45" w:right="94" w:firstLineChars="0" w:firstLine="0"/>
              <w:jc w:val="left"/>
              <w:rPr>
                <w:rFonts w:hAnsi="宋体" w:cs="宋体" w:hint="eastAsia"/>
                <w:szCs w:val="21"/>
              </w:rPr>
            </w:pPr>
            <w:r>
              <w:rPr>
                <w:rFonts w:hAnsi="宋体" w:cs="宋体" w:hint="eastAsia"/>
                <w:szCs w:val="21"/>
              </w:rPr>
              <w:t>3台SG主蒸汽管道压力、3台SG水位（窄量程和宽量程）、3台SG放射性</w:t>
            </w:r>
          </w:p>
        </w:tc>
      </w:tr>
      <w:tr w:rsidR="008F6B68" w14:paraId="01156C63" w14:textId="77777777">
        <w:trPr>
          <w:trHeight w:val="90"/>
        </w:trPr>
        <w:tc>
          <w:tcPr>
            <w:tcW w:w="1175" w:type="dxa"/>
            <w:vAlign w:val="center"/>
          </w:tcPr>
          <w:p w14:paraId="4A695A3A" w14:textId="77777777" w:rsidR="008F6B68" w:rsidRDefault="00000000">
            <w:pPr>
              <w:pStyle w:val="aff9"/>
              <w:ind w:firstLineChars="0" w:firstLine="0"/>
              <w:jc w:val="center"/>
              <w:rPr>
                <w:rFonts w:hAnsi="宋体" w:cs="宋体" w:hint="eastAsia"/>
                <w:szCs w:val="21"/>
              </w:rPr>
            </w:pPr>
            <w:r>
              <w:rPr>
                <w:rFonts w:hAnsi="宋体" w:cs="宋体" w:hint="eastAsia"/>
                <w:szCs w:val="21"/>
              </w:rPr>
              <w:t>RCV</w:t>
            </w:r>
          </w:p>
        </w:tc>
        <w:tc>
          <w:tcPr>
            <w:tcW w:w="7245" w:type="dxa"/>
            <w:vAlign w:val="center"/>
          </w:tcPr>
          <w:p w14:paraId="46B74D18" w14:textId="77777777" w:rsidR="008F6B68" w:rsidRDefault="00000000">
            <w:pPr>
              <w:pStyle w:val="aff9"/>
              <w:ind w:leftChars="28" w:left="59" w:rightChars="45" w:right="94" w:firstLineChars="0" w:firstLine="0"/>
              <w:jc w:val="left"/>
              <w:rPr>
                <w:rFonts w:hAnsi="宋体" w:cs="宋体" w:hint="eastAsia"/>
                <w:szCs w:val="21"/>
              </w:rPr>
            </w:pPr>
            <w:r>
              <w:rPr>
                <w:rFonts w:hAnsi="宋体" w:cs="宋体" w:hint="eastAsia"/>
                <w:szCs w:val="21"/>
              </w:rPr>
              <w:t>上充流量、下泄流量、辅助喷淋流量、轴封注入流量</w:t>
            </w:r>
          </w:p>
        </w:tc>
      </w:tr>
      <w:tr w:rsidR="008F6B68" w14:paraId="16C48B21" w14:textId="77777777">
        <w:trPr>
          <w:trHeight w:val="90"/>
        </w:trPr>
        <w:tc>
          <w:tcPr>
            <w:tcW w:w="1175" w:type="dxa"/>
            <w:vAlign w:val="center"/>
          </w:tcPr>
          <w:p w14:paraId="2DEBBD33" w14:textId="77777777" w:rsidR="008F6B68" w:rsidRDefault="00000000">
            <w:pPr>
              <w:pStyle w:val="aff9"/>
              <w:ind w:firstLineChars="0" w:firstLine="0"/>
              <w:jc w:val="center"/>
              <w:rPr>
                <w:rFonts w:hAnsi="宋体" w:cs="宋体" w:hint="eastAsia"/>
                <w:szCs w:val="21"/>
              </w:rPr>
            </w:pPr>
            <w:r>
              <w:rPr>
                <w:rFonts w:hAnsi="宋体" w:cs="宋体" w:hint="eastAsia"/>
                <w:szCs w:val="21"/>
              </w:rPr>
              <w:t>APG</w:t>
            </w:r>
          </w:p>
        </w:tc>
        <w:tc>
          <w:tcPr>
            <w:tcW w:w="7245" w:type="dxa"/>
            <w:vAlign w:val="center"/>
          </w:tcPr>
          <w:p w14:paraId="47C61FF3" w14:textId="77777777" w:rsidR="008F6B68" w:rsidRDefault="00000000">
            <w:pPr>
              <w:pStyle w:val="aff9"/>
              <w:ind w:leftChars="28" w:left="59" w:rightChars="45" w:right="94" w:firstLineChars="0" w:firstLine="0"/>
              <w:jc w:val="left"/>
              <w:rPr>
                <w:rFonts w:hAnsi="宋体" w:cs="宋体" w:hint="eastAsia"/>
                <w:szCs w:val="21"/>
              </w:rPr>
            </w:pPr>
            <w:r>
              <w:rPr>
                <w:rFonts w:hAnsi="宋体" w:cs="宋体" w:hint="eastAsia"/>
                <w:szCs w:val="21"/>
              </w:rPr>
              <w:t>APG流量</w:t>
            </w:r>
          </w:p>
        </w:tc>
      </w:tr>
      <w:tr w:rsidR="008F6B68" w14:paraId="3EE346FB" w14:textId="77777777">
        <w:trPr>
          <w:trHeight w:val="90"/>
        </w:trPr>
        <w:tc>
          <w:tcPr>
            <w:tcW w:w="1175" w:type="dxa"/>
            <w:vAlign w:val="center"/>
          </w:tcPr>
          <w:p w14:paraId="0D1A24B1" w14:textId="77777777" w:rsidR="008F6B68" w:rsidRDefault="00000000">
            <w:pPr>
              <w:pStyle w:val="aff9"/>
              <w:ind w:firstLineChars="0" w:firstLine="0"/>
              <w:jc w:val="center"/>
              <w:rPr>
                <w:rFonts w:hAnsi="宋体" w:cs="宋体" w:hint="eastAsia"/>
                <w:szCs w:val="21"/>
              </w:rPr>
            </w:pPr>
            <w:r>
              <w:rPr>
                <w:rFonts w:hAnsi="宋体" w:cs="宋体" w:hint="eastAsia"/>
                <w:szCs w:val="21"/>
              </w:rPr>
              <w:t>安全壳</w:t>
            </w:r>
          </w:p>
        </w:tc>
        <w:tc>
          <w:tcPr>
            <w:tcW w:w="7245" w:type="dxa"/>
            <w:vAlign w:val="center"/>
          </w:tcPr>
          <w:p w14:paraId="3EFE5A84" w14:textId="77777777" w:rsidR="008F6B68" w:rsidRDefault="00000000">
            <w:pPr>
              <w:pStyle w:val="aff9"/>
              <w:ind w:leftChars="28" w:left="59" w:rightChars="45" w:right="94" w:firstLineChars="0" w:firstLine="0"/>
              <w:jc w:val="left"/>
              <w:rPr>
                <w:rFonts w:hAnsi="宋体" w:cs="宋体" w:hint="eastAsia"/>
                <w:szCs w:val="21"/>
              </w:rPr>
            </w:pPr>
            <w:r>
              <w:rPr>
                <w:rFonts w:hAnsi="宋体" w:cs="宋体" w:hint="eastAsia"/>
                <w:szCs w:val="21"/>
              </w:rPr>
              <w:t>EAS流量、安全壳压力、安全壳温度、安全壳放射性</w:t>
            </w:r>
          </w:p>
        </w:tc>
      </w:tr>
      <w:tr w:rsidR="008F6B68" w14:paraId="0A6BE3E5" w14:textId="77777777">
        <w:trPr>
          <w:trHeight w:val="90"/>
        </w:trPr>
        <w:tc>
          <w:tcPr>
            <w:tcW w:w="1175" w:type="dxa"/>
            <w:vAlign w:val="center"/>
          </w:tcPr>
          <w:p w14:paraId="3026DA89" w14:textId="77777777" w:rsidR="008F6B68" w:rsidRDefault="00000000">
            <w:pPr>
              <w:pStyle w:val="aff9"/>
              <w:ind w:firstLineChars="0" w:firstLine="0"/>
              <w:jc w:val="center"/>
              <w:rPr>
                <w:rFonts w:hAnsi="宋体" w:cs="宋体" w:hint="eastAsia"/>
                <w:szCs w:val="21"/>
              </w:rPr>
            </w:pPr>
            <w:r>
              <w:rPr>
                <w:rFonts w:hAnsi="宋体" w:cs="宋体" w:hint="eastAsia"/>
                <w:szCs w:val="21"/>
              </w:rPr>
              <w:lastRenderedPageBreak/>
              <w:t>REA</w:t>
            </w:r>
          </w:p>
        </w:tc>
        <w:tc>
          <w:tcPr>
            <w:tcW w:w="7245" w:type="dxa"/>
            <w:vAlign w:val="center"/>
          </w:tcPr>
          <w:p w14:paraId="5D9A7AF5" w14:textId="77777777" w:rsidR="008F6B68" w:rsidRDefault="00000000">
            <w:pPr>
              <w:pStyle w:val="aff9"/>
              <w:ind w:leftChars="28" w:left="59" w:rightChars="45" w:right="94" w:firstLineChars="0" w:firstLine="0"/>
              <w:jc w:val="left"/>
              <w:rPr>
                <w:rFonts w:hAnsi="宋体" w:cs="宋体" w:hint="eastAsia"/>
                <w:szCs w:val="21"/>
              </w:rPr>
            </w:pPr>
            <w:r>
              <w:rPr>
                <w:rFonts w:hAnsi="宋体" w:cs="宋体" w:hint="eastAsia"/>
                <w:szCs w:val="21"/>
              </w:rPr>
              <w:t>硼化流量</w:t>
            </w:r>
          </w:p>
        </w:tc>
      </w:tr>
      <w:tr w:rsidR="008F6B68" w14:paraId="19B5CCA9" w14:textId="77777777">
        <w:trPr>
          <w:trHeight w:val="90"/>
        </w:trPr>
        <w:tc>
          <w:tcPr>
            <w:tcW w:w="1175" w:type="dxa"/>
            <w:vAlign w:val="center"/>
          </w:tcPr>
          <w:p w14:paraId="68128854" w14:textId="77777777" w:rsidR="008F6B68" w:rsidRDefault="00000000">
            <w:pPr>
              <w:pStyle w:val="aff9"/>
              <w:ind w:firstLineChars="0" w:firstLine="0"/>
              <w:jc w:val="center"/>
              <w:rPr>
                <w:rFonts w:hAnsi="宋体" w:cs="宋体" w:hint="eastAsia"/>
                <w:szCs w:val="21"/>
              </w:rPr>
            </w:pPr>
            <w:r>
              <w:rPr>
                <w:rFonts w:hAnsi="宋体" w:cs="宋体" w:hint="eastAsia"/>
                <w:szCs w:val="21"/>
              </w:rPr>
              <w:t>RRA</w:t>
            </w:r>
          </w:p>
        </w:tc>
        <w:tc>
          <w:tcPr>
            <w:tcW w:w="7245" w:type="dxa"/>
            <w:vAlign w:val="center"/>
          </w:tcPr>
          <w:p w14:paraId="2A04EAF0" w14:textId="77777777" w:rsidR="008F6B68" w:rsidRDefault="00000000">
            <w:pPr>
              <w:pStyle w:val="aff9"/>
              <w:ind w:leftChars="28" w:left="59" w:rightChars="45" w:right="94" w:firstLineChars="0" w:firstLine="0"/>
              <w:jc w:val="left"/>
              <w:rPr>
                <w:rFonts w:hAnsi="宋体" w:cs="宋体" w:hint="eastAsia"/>
                <w:szCs w:val="21"/>
              </w:rPr>
            </w:pPr>
            <w:r>
              <w:rPr>
                <w:rFonts w:hAnsi="宋体" w:cs="宋体" w:hint="eastAsia"/>
                <w:szCs w:val="21"/>
              </w:rPr>
              <w:t>RRA流量</w:t>
            </w:r>
          </w:p>
        </w:tc>
      </w:tr>
    </w:tbl>
    <w:p w14:paraId="6E793034" w14:textId="77777777" w:rsidR="008F6B68" w:rsidRDefault="008F6B68">
      <w:pPr>
        <w:pStyle w:val="aff9"/>
        <w:ind w:firstLineChars="0" w:firstLine="0"/>
        <w:jc w:val="center"/>
        <w:rPr>
          <w:rFonts w:hAnsi="宋体" w:cs="宋体" w:hint="eastAsia"/>
          <w:szCs w:val="21"/>
        </w:rPr>
      </w:pPr>
    </w:p>
    <w:tbl>
      <w:tblPr>
        <w:tblW w:w="8420" w:type="dxa"/>
        <w:tblInd w:w="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75"/>
        <w:gridCol w:w="7245"/>
      </w:tblGrid>
      <w:tr w:rsidR="008F6B68" w14:paraId="0E063181" w14:textId="77777777">
        <w:trPr>
          <w:trHeight w:val="90"/>
        </w:trPr>
        <w:tc>
          <w:tcPr>
            <w:tcW w:w="8420" w:type="dxa"/>
            <w:gridSpan w:val="2"/>
            <w:vAlign w:val="center"/>
          </w:tcPr>
          <w:p w14:paraId="3A3B3FAA" w14:textId="77777777" w:rsidR="008F6B68" w:rsidRDefault="00000000">
            <w:pPr>
              <w:pStyle w:val="aff9"/>
              <w:ind w:firstLineChars="0" w:firstLine="0"/>
              <w:jc w:val="center"/>
              <w:rPr>
                <w:rFonts w:hAnsi="宋体" w:cs="宋体" w:hint="eastAsia"/>
                <w:szCs w:val="21"/>
              </w:rPr>
            </w:pPr>
            <w:r>
              <w:rPr>
                <w:rFonts w:hAnsi="宋体" w:cs="宋体" w:hint="eastAsia"/>
                <w:szCs w:val="21"/>
              </w:rPr>
              <w:t>适用于华龙一号系列机组</w:t>
            </w:r>
          </w:p>
        </w:tc>
      </w:tr>
      <w:tr w:rsidR="008F6B68" w14:paraId="42C986CD" w14:textId="77777777">
        <w:trPr>
          <w:trHeight w:val="90"/>
        </w:trPr>
        <w:tc>
          <w:tcPr>
            <w:tcW w:w="1175" w:type="dxa"/>
            <w:vAlign w:val="center"/>
          </w:tcPr>
          <w:p w14:paraId="1EA5E60D" w14:textId="77777777" w:rsidR="008F6B68" w:rsidRDefault="00000000">
            <w:pPr>
              <w:pStyle w:val="aff9"/>
              <w:ind w:firstLineChars="0" w:firstLine="0"/>
              <w:jc w:val="center"/>
              <w:rPr>
                <w:rFonts w:hAnsi="宋体" w:cs="宋体" w:hint="eastAsia"/>
                <w:szCs w:val="21"/>
              </w:rPr>
            </w:pPr>
            <w:r>
              <w:rPr>
                <w:rFonts w:hAnsi="宋体" w:cs="宋体" w:hint="eastAsia"/>
                <w:szCs w:val="21"/>
              </w:rPr>
              <w:t>系统或设备</w:t>
            </w:r>
          </w:p>
        </w:tc>
        <w:tc>
          <w:tcPr>
            <w:tcW w:w="7245" w:type="dxa"/>
            <w:vAlign w:val="center"/>
          </w:tcPr>
          <w:p w14:paraId="5D773F70" w14:textId="77777777" w:rsidR="008F6B68" w:rsidRDefault="00000000">
            <w:pPr>
              <w:pStyle w:val="aff9"/>
              <w:ind w:firstLineChars="0" w:firstLine="0"/>
              <w:jc w:val="center"/>
              <w:rPr>
                <w:rFonts w:hAnsi="宋体" w:cs="宋体" w:hint="eastAsia"/>
                <w:szCs w:val="21"/>
              </w:rPr>
            </w:pPr>
            <w:r>
              <w:rPr>
                <w:rFonts w:hAnsi="宋体" w:cs="宋体" w:hint="eastAsia"/>
                <w:szCs w:val="21"/>
              </w:rPr>
              <w:t>参数</w:t>
            </w:r>
          </w:p>
        </w:tc>
      </w:tr>
      <w:tr w:rsidR="008F6B68" w14:paraId="2EC4A2AF" w14:textId="77777777">
        <w:trPr>
          <w:trHeight w:val="90"/>
        </w:trPr>
        <w:tc>
          <w:tcPr>
            <w:tcW w:w="1175" w:type="dxa"/>
            <w:vAlign w:val="center"/>
          </w:tcPr>
          <w:p w14:paraId="48453B84"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RIS/RHR</w:t>
            </w:r>
          </w:p>
        </w:tc>
        <w:tc>
          <w:tcPr>
            <w:tcW w:w="7245" w:type="dxa"/>
            <w:vAlign w:val="center"/>
          </w:tcPr>
          <w:p w14:paraId="23091703" w14:textId="77777777" w:rsidR="008F6B68" w:rsidRDefault="00000000">
            <w:pPr>
              <w:widowControl/>
              <w:ind w:leftChars="38" w:left="80" w:rightChars="64" w:right="134"/>
              <w:jc w:val="left"/>
              <w:textAlignment w:val="center"/>
              <w:rPr>
                <w:rFonts w:ascii="宋体" w:hAnsi="宋体" w:cs="宋体" w:hint="eastAsia"/>
                <w:szCs w:val="21"/>
              </w:rPr>
            </w:pPr>
            <w:r>
              <w:rPr>
                <w:rFonts w:ascii="宋体" w:hAnsi="宋体" w:cs="宋体" w:hint="eastAsia"/>
                <w:color w:val="000000"/>
                <w:kern w:val="0"/>
                <w:szCs w:val="21"/>
                <w:lang w:bidi="ar"/>
              </w:rPr>
              <w:t xml:space="preserve">中压安注流量、低压安注流量、RHR功能下的RIS流量 </w:t>
            </w:r>
          </w:p>
        </w:tc>
      </w:tr>
      <w:tr w:rsidR="008F6B68" w14:paraId="0D82850F" w14:textId="77777777">
        <w:trPr>
          <w:trHeight w:val="90"/>
        </w:trPr>
        <w:tc>
          <w:tcPr>
            <w:tcW w:w="1175" w:type="dxa"/>
            <w:vAlign w:val="center"/>
          </w:tcPr>
          <w:p w14:paraId="48A1F02F"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IRWST</w:t>
            </w:r>
          </w:p>
        </w:tc>
        <w:tc>
          <w:tcPr>
            <w:tcW w:w="7245" w:type="dxa"/>
            <w:vAlign w:val="center"/>
          </w:tcPr>
          <w:p w14:paraId="07882866" w14:textId="77777777" w:rsidR="008F6B68" w:rsidRDefault="00000000">
            <w:pPr>
              <w:widowControl/>
              <w:ind w:leftChars="38" w:left="80" w:rightChars="64" w:right="134"/>
              <w:jc w:val="left"/>
              <w:textAlignment w:val="center"/>
              <w:rPr>
                <w:rFonts w:ascii="宋体" w:hAnsi="宋体" w:cs="宋体" w:hint="eastAsia"/>
                <w:szCs w:val="21"/>
              </w:rPr>
            </w:pPr>
            <w:r>
              <w:rPr>
                <w:rFonts w:ascii="宋体" w:hAnsi="宋体" w:cs="宋体" w:hint="eastAsia"/>
                <w:color w:val="000000"/>
                <w:kern w:val="0"/>
                <w:szCs w:val="21"/>
                <w:lang w:bidi="ar"/>
              </w:rPr>
              <w:t xml:space="preserve">IRWST水位、IRWST温度 </w:t>
            </w:r>
          </w:p>
        </w:tc>
      </w:tr>
      <w:tr w:rsidR="008F6B68" w14:paraId="447243AD" w14:textId="77777777">
        <w:trPr>
          <w:trHeight w:val="90"/>
        </w:trPr>
        <w:tc>
          <w:tcPr>
            <w:tcW w:w="1175" w:type="dxa"/>
            <w:vAlign w:val="center"/>
          </w:tcPr>
          <w:p w14:paraId="6337462C"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ASG</w:t>
            </w:r>
          </w:p>
        </w:tc>
        <w:tc>
          <w:tcPr>
            <w:tcW w:w="7245" w:type="dxa"/>
            <w:vAlign w:val="center"/>
          </w:tcPr>
          <w:p w14:paraId="5A8BE8E3" w14:textId="77777777" w:rsidR="008F6B68" w:rsidRDefault="00000000">
            <w:pPr>
              <w:widowControl/>
              <w:ind w:leftChars="38" w:left="80" w:rightChars="64" w:right="134"/>
              <w:jc w:val="left"/>
              <w:textAlignment w:val="center"/>
              <w:rPr>
                <w:rFonts w:ascii="宋体" w:hAnsi="宋体" w:cs="宋体" w:hint="eastAsia"/>
                <w:szCs w:val="21"/>
              </w:rPr>
            </w:pPr>
            <w:r>
              <w:rPr>
                <w:rFonts w:ascii="宋体" w:hAnsi="宋体" w:cs="宋体" w:hint="eastAsia"/>
                <w:color w:val="000000"/>
                <w:kern w:val="0"/>
                <w:szCs w:val="21"/>
                <w:lang w:bidi="ar"/>
              </w:rPr>
              <w:t xml:space="preserve">ASG流量、ASG水箱水位 </w:t>
            </w:r>
          </w:p>
        </w:tc>
      </w:tr>
      <w:tr w:rsidR="008F6B68" w14:paraId="2179BAAF" w14:textId="77777777">
        <w:trPr>
          <w:trHeight w:val="90"/>
        </w:trPr>
        <w:tc>
          <w:tcPr>
            <w:tcW w:w="1175" w:type="dxa"/>
            <w:vAlign w:val="center"/>
          </w:tcPr>
          <w:p w14:paraId="6E9B1D4F"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RCP</w:t>
            </w:r>
          </w:p>
        </w:tc>
        <w:tc>
          <w:tcPr>
            <w:tcW w:w="7245" w:type="dxa"/>
            <w:vAlign w:val="center"/>
          </w:tcPr>
          <w:p w14:paraId="4FC05B41" w14:textId="77777777" w:rsidR="008F6B68" w:rsidRDefault="00000000">
            <w:pPr>
              <w:widowControl/>
              <w:ind w:leftChars="38" w:left="80" w:rightChars="64" w:right="134"/>
              <w:jc w:val="left"/>
              <w:textAlignment w:val="center"/>
              <w:rPr>
                <w:rFonts w:ascii="宋体" w:hAnsi="宋体" w:cs="宋体" w:hint="eastAsia"/>
                <w:szCs w:val="21"/>
              </w:rPr>
            </w:pPr>
            <w:r>
              <w:rPr>
                <w:rFonts w:ascii="宋体" w:hAnsi="宋体" w:cs="宋体" w:hint="eastAsia"/>
                <w:color w:val="000000"/>
                <w:kern w:val="0"/>
                <w:szCs w:val="21"/>
                <w:lang w:bidi="ar"/>
              </w:rPr>
              <w:t xml:space="preserve">一回路压力、稳压器压力、稳压器水位、堆芯饱和裕度、堆芯出口温度、3个环路热段温度、3个环路冷段温度、降温速率、一回路硼浓度 </w:t>
            </w:r>
          </w:p>
        </w:tc>
      </w:tr>
      <w:tr w:rsidR="008F6B68" w14:paraId="23B0B29D" w14:textId="77777777">
        <w:trPr>
          <w:trHeight w:val="90"/>
        </w:trPr>
        <w:tc>
          <w:tcPr>
            <w:tcW w:w="1175" w:type="dxa"/>
            <w:vAlign w:val="center"/>
          </w:tcPr>
          <w:p w14:paraId="55FB9EE5"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RPN</w:t>
            </w:r>
          </w:p>
        </w:tc>
        <w:tc>
          <w:tcPr>
            <w:tcW w:w="7245" w:type="dxa"/>
            <w:vAlign w:val="center"/>
          </w:tcPr>
          <w:p w14:paraId="310B906F" w14:textId="77777777" w:rsidR="008F6B68" w:rsidRDefault="00000000">
            <w:pPr>
              <w:widowControl/>
              <w:ind w:leftChars="38" w:left="80" w:rightChars="64" w:right="134"/>
              <w:jc w:val="left"/>
              <w:textAlignment w:val="center"/>
              <w:rPr>
                <w:rFonts w:ascii="宋体" w:hAnsi="宋体" w:cs="宋体" w:hint="eastAsia"/>
                <w:szCs w:val="21"/>
              </w:rPr>
            </w:pPr>
            <w:r>
              <w:rPr>
                <w:rFonts w:ascii="宋体" w:hAnsi="宋体" w:cs="宋体" w:hint="eastAsia"/>
                <w:color w:val="000000"/>
                <w:kern w:val="0"/>
                <w:szCs w:val="21"/>
                <w:lang w:bidi="ar"/>
              </w:rPr>
              <w:t xml:space="preserve">源量程计数率、源量程音响、中间量程中子通量、功率量程中子通量、倍增周期 </w:t>
            </w:r>
          </w:p>
        </w:tc>
      </w:tr>
      <w:tr w:rsidR="008F6B68" w14:paraId="02193348" w14:textId="77777777">
        <w:trPr>
          <w:trHeight w:val="90"/>
        </w:trPr>
        <w:tc>
          <w:tcPr>
            <w:tcW w:w="1175" w:type="dxa"/>
            <w:vAlign w:val="center"/>
          </w:tcPr>
          <w:p w14:paraId="4CC10508"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SG</w:t>
            </w:r>
          </w:p>
        </w:tc>
        <w:tc>
          <w:tcPr>
            <w:tcW w:w="7245" w:type="dxa"/>
            <w:vAlign w:val="center"/>
          </w:tcPr>
          <w:p w14:paraId="23EACF23" w14:textId="77777777" w:rsidR="008F6B68" w:rsidRDefault="00000000">
            <w:pPr>
              <w:widowControl/>
              <w:ind w:leftChars="38" w:left="80" w:rightChars="64" w:right="134"/>
              <w:jc w:val="left"/>
              <w:textAlignment w:val="center"/>
              <w:rPr>
                <w:rFonts w:ascii="宋体" w:hAnsi="宋体" w:cs="宋体" w:hint="eastAsia"/>
                <w:szCs w:val="21"/>
              </w:rPr>
            </w:pPr>
            <w:r>
              <w:rPr>
                <w:rFonts w:ascii="宋体" w:hAnsi="宋体" w:cs="宋体" w:hint="eastAsia"/>
                <w:color w:val="000000"/>
                <w:kern w:val="0"/>
                <w:szCs w:val="21"/>
                <w:lang w:bidi="ar"/>
              </w:rPr>
              <w:t xml:space="preserve">3台SG主蒸汽管道压力、3台SG水位（窄量程和宽量程）、3台SG放射性 </w:t>
            </w:r>
          </w:p>
        </w:tc>
      </w:tr>
      <w:tr w:rsidR="008F6B68" w14:paraId="65273AAE" w14:textId="77777777">
        <w:trPr>
          <w:trHeight w:val="90"/>
        </w:trPr>
        <w:tc>
          <w:tcPr>
            <w:tcW w:w="1175" w:type="dxa"/>
            <w:vAlign w:val="center"/>
          </w:tcPr>
          <w:p w14:paraId="1BD10229"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RCV</w:t>
            </w:r>
          </w:p>
        </w:tc>
        <w:tc>
          <w:tcPr>
            <w:tcW w:w="7245" w:type="dxa"/>
            <w:vAlign w:val="center"/>
          </w:tcPr>
          <w:p w14:paraId="3C4CB0CB" w14:textId="77777777" w:rsidR="008F6B68" w:rsidRDefault="00000000">
            <w:pPr>
              <w:widowControl/>
              <w:ind w:leftChars="38" w:left="80" w:rightChars="64" w:right="134"/>
              <w:jc w:val="left"/>
              <w:textAlignment w:val="center"/>
              <w:rPr>
                <w:rFonts w:ascii="宋体" w:hAnsi="宋体" w:cs="宋体" w:hint="eastAsia"/>
                <w:szCs w:val="21"/>
              </w:rPr>
            </w:pPr>
            <w:r>
              <w:rPr>
                <w:rFonts w:ascii="宋体" w:hAnsi="宋体" w:cs="宋体" w:hint="eastAsia"/>
                <w:color w:val="000000"/>
                <w:kern w:val="0"/>
                <w:szCs w:val="21"/>
                <w:lang w:bidi="ar"/>
              </w:rPr>
              <w:t xml:space="preserve">上充流量、下泄流量、辅助喷淋流量、轴封注入流量 </w:t>
            </w:r>
          </w:p>
        </w:tc>
      </w:tr>
      <w:tr w:rsidR="008F6B68" w14:paraId="04B5C552" w14:textId="77777777">
        <w:trPr>
          <w:trHeight w:val="90"/>
        </w:trPr>
        <w:tc>
          <w:tcPr>
            <w:tcW w:w="1175" w:type="dxa"/>
            <w:vAlign w:val="center"/>
          </w:tcPr>
          <w:p w14:paraId="2D03045F"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APG</w:t>
            </w:r>
          </w:p>
        </w:tc>
        <w:tc>
          <w:tcPr>
            <w:tcW w:w="7245" w:type="dxa"/>
            <w:vAlign w:val="center"/>
          </w:tcPr>
          <w:p w14:paraId="67CB7E36" w14:textId="77777777" w:rsidR="008F6B68" w:rsidRDefault="00000000">
            <w:pPr>
              <w:widowControl/>
              <w:ind w:leftChars="38" w:left="80" w:rightChars="64" w:right="134"/>
              <w:jc w:val="left"/>
              <w:textAlignment w:val="center"/>
              <w:rPr>
                <w:rFonts w:ascii="宋体" w:hAnsi="宋体" w:cs="宋体" w:hint="eastAsia"/>
                <w:szCs w:val="21"/>
              </w:rPr>
            </w:pPr>
            <w:r>
              <w:rPr>
                <w:rFonts w:ascii="宋体" w:hAnsi="宋体" w:cs="宋体" w:hint="eastAsia"/>
                <w:color w:val="000000"/>
                <w:kern w:val="0"/>
                <w:szCs w:val="21"/>
                <w:lang w:bidi="ar"/>
              </w:rPr>
              <w:t xml:space="preserve">APG流量 </w:t>
            </w:r>
          </w:p>
        </w:tc>
      </w:tr>
      <w:tr w:rsidR="008F6B68" w14:paraId="78A22E65" w14:textId="77777777">
        <w:trPr>
          <w:trHeight w:val="90"/>
        </w:trPr>
        <w:tc>
          <w:tcPr>
            <w:tcW w:w="1175" w:type="dxa"/>
            <w:vAlign w:val="center"/>
          </w:tcPr>
          <w:p w14:paraId="4C5F9D40"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安全壳</w:t>
            </w:r>
          </w:p>
        </w:tc>
        <w:tc>
          <w:tcPr>
            <w:tcW w:w="7245" w:type="dxa"/>
            <w:vAlign w:val="center"/>
          </w:tcPr>
          <w:p w14:paraId="0B207E83" w14:textId="77777777" w:rsidR="008F6B68" w:rsidRDefault="00000000">
            <w:pPr>
              <w:widowControl/>
              <w:ind w:leftChars="38" w:left="80" w:rightChars="64" w:right="134"/>
              <w:jc w:val="left"/>
              <w:textAlignment w:val="center"/>
              <w:rPr>
                <w:rFonts w:ascii="宋体" w:hAnsi="宋体" w:cs="宋体" w:hint="eastAsia"/>
                <w:szCs w:val="21"/>
              </w:rPr>
            </w:pPr>
            <w:r>
              <w:rPr>
                <w:rFonts w:ascii="宋体" w:hAnsi="宋体" w:cs="宋体" w:hint="eastAsia"/>
                <w:color w:val="000000"/>
                <w:kern w:val="0"/>
                <w:szCs w:val="21"/>
                <w:lang w:bidi="ar"/>
              </w:rPr>
              <w:t xml:space="preserve">安全壳压力、安全壳放射性 </w:t>
            </w:r>
          </w:p>
        </w:tc>
      </w:tr>
      <w:tr w:rsidR="008F6B68" w14:paraId="4468DF3F" w14:textId="77777777">
        <w:trPr>
          <w:trHeight w:val="90"/>
        </w:trPr>
        <w:tc>
          <w:tcPr>
            <w:tcW w:w="1175" w:type="dxa"/>
            <w:vAlign w:val="center"/>
          </w:tcPr>
          <w:p w14:paraId="00DACB7C"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REA</w:t>
            </w:r>
          </w:p>
        </w:tc>
        <w:tc>
          <w:tcPr>
            <w:tcW w:w="7245" w:type="dxa"/>
            <w:vAlign w:val="center"/>
          </w:tcPr>
          <w:p w14:paraId="64BD1203" w14:textId="77777777" w:rsidR="008F6B68" w:rsidRDefault="00000000">
            <w:pPr>
              <w:widowControl/>
              <w:ind w:leftChars="38" w:left="80" w:rightChars="64" w:right="134"/>
              <w:jc w:val="left"/>
              <w:textAlignment w:val="center"/>
              <w:rPr>
                <w:rFonts w:ascii="宋体" w:hAnsi="宋体" w:cs="宋体" w:hint="eastAsia"/>
                <w:szCs w:val="21"/>
              </w:rPr>
            </w:pPr>
            <w:r>
              <w:rPr>
                <w:rFonts w:ascii="宋体" w:hAnsi="宋体" w:cs="宋体" w:hint="eastAsia"/>
                <w:color w:val="000000"/>
                <w:kern w:val="0"/>
                <w:szCs w:val="21"/>
                <w:lang w:bidi="ar"/>
              </w:rPr>
              <w:t xml:space="preserve">硼化流量 </w:t>
            </w:r>
          </w:p>
        </w:tc>
      </w:tr>
      <w:tr w:rsidR="008F6B68" w14:paraId="38796E07" w14:textId="77777777">
        <w:trPr>
          <w:trHeight w:val="90"/>
        </w:trPr>
        <w:tc>
          <w:tcPr>
            <w:tcW w:w="1175" w:type="dxa"/>
            <w:vAlign w:val="center"/>
          </w:tcPr>
          <w:p w14:paraId="0649573F"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RBS</w:t>
            </w:r>
          </w:p>
        </w:tc>
        <w:tc>
          <w:tcPr>
            <w:tcW w:w="7245" w:type="dxa"/>
            <w:vAlign w:val="center"/>
          </w:tcPr>
          <w:p w14:paraId="46A4B9D1" w14:textId="77777777" w:rsidR="008F6B68" w:rsidRDefault="00000000">
            <w:pPr>
              <w:widowControl/>
              <w:ind w:leftChars="38" w:left="80" w:rightChars="64" w:right="134"/>
              <w:jc w:val="left"/>
              <w:textAlignment w:val="center"/>
              <w:rPr>
                <w:rFonts w:ascii="宋体" w:hAnsi="宋体" w:cs="宋体" w:hint="eastAsia"/>
                <w:szCs w:val="21"/>
              </w:rPr>
            </w:pPr>
            <w:r>
              <w:rPr>
                <w:rFonts w:ascii="宋体" w:hAnsi="宋体" w:cs="宋体" w:hint="eastAsia"/>
                <w:color w:val="000000"/>
                <w:kern w:val="0"/>
                <w:szCs w:val="21"/>
                <w:lang w:bidi="ar"/>
              </w:rPr>
              <w:t xml:space="preserve">应急硼化流量 </w:t>
            </w:r>
          </w:p>
        </w:tc>
      </w:tr>
      <w:tr w:rsidR="008F6B68" w14:paraId="7D74B351" w14:textId="77777777">
        <w:trPr>
          <w:trHeight w:val="90"/>
        </w:trPr>
        <w:tc>
          <w:tcPr>
            <w:tcW w:w="1175" w:type="dxa"/>
            <w:vAlign w:val="center"/>
          </w:tcPr>
          <w:p w14:paraId="257ED9FC" w14:textId="77777777" w:rsidR="008F6B68" w:rsidRDefault="00000000">
            <w:pPr>
              <w:widowControl/>
              <w:jc w:val="center"/>
              <w:textAlignment w:val="center"/>
              <w:rPr>
                <w:rFonts w:ascii="宋体" w:hAnsi="宋体" w:cs="宋体" w:hint="eastAsia"/>
                <w:szCs w:val="21"/>
              </w:rPr>
            </w:pPr>
            <w:r>
              <w:rPr>
                <w:rFonts w:ascii="宋体" w:hAnsi="宋体" w:cs="宋体" w:hint="eastAsia"/>
                <w:color w:val="000000"/>
                <w:kern w:val="0"/>
                <w:szCs w:val="21"/>
                <w:lang w:bidi="ar"/>
              </w:rPr>
              <w:t>EHR</w:t>
            </w:r>
          </w:p>
        </w:tc>
        <w:tc>
          <w:tcPr>
            <w:tcW w:w="7245" w:type="dxa"/>
            <w:vAlign w:val="center"/>
          </w:tcPr>
          <w:p w14:paraId="0E7D716A" w14:textId="77777777" w:rsidR="008F6B68" w:rsidRDefault="00000000">
            <w:pPr>
              <w:widowControl/>
              <w:ind w:leftChars="38" w:left="80" w:rightChars="64" w:right="134"/>
              <w:jc w:val="left"/>
              <w:textAlignment w:val="center"/>
              <w:rPr>
                <w:rFonts w:ascii="宋体" w:hAnsi="宋体" w:cs="宋体" w:hint="eastAsia"/>
                <w:szCs w:val="21"/>
              </w:rPr>
            </w:pPr>
            <w:r>
              <w:rPr>
                <w:rFonts w:ascii="宋体" w:hAnsi="宋体" w:cs="宋体" w:hint="eastAsia"/>
                <w:color w:val="000000"/>
                <w:kern w:val="0"/>
                <w:szCs w:val="21"/>
                <w:lang w:bidi="ar"/>
              </w:rPr>
              <w:t>安全壳喷淋流量、能动/非能动堆坑注水流量</w:t>
            </w:r>
          </w:p>
        </w:tc>
      </w:tr>
    </w:tbl>
    <w:p w14:paraId="01101308" w14:textId="77777777" w:rsidR="008F6B68" w:rsidRDefault="008F6B68">
      <w:pPr>
        <w:pStyle w:val="aff9"/>
        <w:jc w:val="center"/>
        <w:rPr>
          <w:rFonts w:hAnsi="宋体" w:cs="宋体" w:hint="eastAsia"/>
          <w:szCs w:val="21"/>
        </w:rPr>
      </w:pPr>
    </w:p>
    <w:tbl>
      <w:tblPr>
        <w:tblStyle w:val="affd"/>
        <w:tblW w:w="0" w:type="auto"/>
        <w:jc w:val="center"/>
        <w:tblLook w:val="04A0" w:firstRow="1" w:lastRow="0" w:firstColumn="1" w:lastColumn="0" w:noHBand="0" w:noVBand="1"/>
      </w:tblPr>
      <w:tblGrid>
        <w:gridCol w:w="1209"/>
        <w:gridCol w:w="7228"/>
      </w:tblGrid>
      <w:tr w:rsidR="008F6B68" w14:paraId="5D7996BA" w14:textId="77777777">
        <w:trPr>
          <w:jc w:val="center"/>
        </w:trPr>
        <w:tc>
          <w:tcPr>
            <w:tcW w:w="8437" w:type="dxa"/>
            <w:gridSpan w:val="2"/>
            <w:vAlign w:val="center"/>
          </w:tcPr>
          <w:p w14:paraId="60B6BCE5" w14:textId="77777777" w:rsidR="008F6B68" w:rsidRDefault="00000000">
            <w:pPr>
              <w:pStyle w:val="aff9"/>
              <w:ind w:firstLineChars="0" w:firstLine="0"/>
              <w:jc w:val="center"/>
              <w:rPr>
                <w:rFonts w:hAnsi="宋体" w:cs="宋体" w:hint="eastAsia"/>
                <w:szCs w:val="21"/>
              </w:rPr>
            </w:pPr>
            <w:r>
              <w:rPr>
                <w:rFonts w:hAnsi="宋体" w:cs="宋体" w:hint="eastAsia"/>
                <w:szCs w:val="21"/>
              </w:rPr>
              <w:t>适用于AP1000系列机组</w:t>
            </w:r>
          </w:p>
        </w:tc>
      </w:tr>
      <w:tr w:rsidR="008F6B68" w14:paraId="65509DCC" w14:textId="77777777">
        <w:trPr>
          <w:jc w:val="center"/>
        </w:trPr>
        <w:tc>
          <w:tcPr>
            <w:tcW w:w="1209" w:type="dxa"/>
            <w:vAlign w:val="center"/>
          </w:tcPr>
          <w:p w14:paraId="1C983457" w14:textId="77777777" w:rsidR="008F6B68" w:rsidRDefault="00000000">
            <w:pPr>
              <w:pStyle w:val="aff9"/>
              <w:ind w:rightChars="-31" w:right="-65" w:firstLineChars="0" w:firstLine="0"/>
              <w:jc w:val="center"/>
              <w:rPr>
                <w:rFonts w:hAnsi="宋体" w:cs="宋体" w:hint="eastAsia"/>
                <w:szCs w:val="21"/>
              </w:rPr>
            </w:pPr>
            <w:r>
              <w:rPr>
                <w:rFonts w:hAnsi="宋体" w:cs="宋体" w:hint="eastAsia"/>
                <w:szCs w:val="21"/>
              </w:rPr>
              <w:t>系统或设备</w:t>
            </w:r>
          </w:p>
        </w:tc>
        <w:tc>
          <w:tcPr>
            <w:tcW w:w="7228" w:type="dxa"/>
            <w:vAlign w:val="center"/>
          </w:tcPr>
          <w:p w14:paraId="161CAE1F" w14:textId="77777777" w:rsidR="008F6B68" w:rsidRDefault="00000000">
            <w:pPr>
              <w:pStyle w:val="aff9"/>
              <w:ind w:firstLineChars="0" w:firstLine="0"/>
              <w:jc w:val="center"/>
              <w:rPr>
                <w:rFonts w:hAnsi="宋体" w:cs="宋体" w:hint="eastAsia"/>
                <w:szCs w:val="21"/>
              </w:rPr>
            </w:pPr>
            <w:r>
              <w:rPr>
                <w:rFonts w:hAnsi="宋体" w:cs="宋体" w:hint="eastAsia"/>
                <w:szCs w:val="21"/>
              </w:rPr>
              <w:t>参数</w:t>
            </w:r>
          </w:p>
        </w:tc>
      </w:tr>
      <w:tr w:rsidR="008F6B68" w14:paraId="58F5A60C" w14:textId="77777777">
        <w:trPr>
          <w:jc w:val="center"/>
        </w:trPr>
        <w:tc>
          <w:tcPr>
            <w:tcW w:w="1209" w:type="dxa"/>
            <w:vAlign w:val="center"/>
          </w:tcPr>
          <w:p w14:paraId="60C28056" w14:textId="77777777" w:rsidR="008F6B68" w:rsidRDefault="00000000">
            <w:pPr>
              <w:pStyle w:val="aff9"/>
              <w:ind w:firstLineChars="0" w:firstLine="0"/>
              <w:jc w:val="center"/>
              <w:rPr>
                <w:rFonts w:hAnsi="宋体" w:cs="宋体" w:hint="eastAsia"/>
                <w:szCs w:val="21"/>
              </w:rPr>
            </w:pPr>
            <w:r>
              <w:rPr>
                <w:rFonts w:hAnsi="宋体" w:cs="宋体" w:hint="eastAsia"/>
                <w:szCs w:val="21"/>
              </w:rPr>
              <w:t>NIS</w:t>
            </w:r>
          </w:p>
        </w:tc>
        <w:tc>
          <w:tcPr>
            <w:tcW w:w="7228" w:type="dxa"/>
            <w:vAlign w:val="center"/>
          </w:tcPr>
          <w:p w14:paraId="20C24C4B" w14:textId="77777777" w:rsidR="008F6B68" w:rsidRDefault="00000000">
            <w:pPr>
              <w:pStyle w:val="aff9"/>
              <w:ind w:firstLineChars="0" w:firstLine="0"/>
              <w:rPr>
                <w:rFonts w:hAnsi="宋体" w:cs="宋体" w:hint="eastAsia"/>
                <w:szCs w:val="21"/>
              </w:rPr>
            </w:pPr>
            <w:r>
              <w:rPr>
                <w:rFonts w:hAnsi="宋体" w:cs="宋体" w:hint="eastAsia"/>
                <w:szCs w:val="21"/>
              </w:rPr>
              <w:t>中间量程中子通量、中间量程中子通量启动率、源量程中子通量</w:t>
            </w:r>
          </w:p>
        </w:tc>
      </w:tr>
      <w:tr w:rsidR="008F6B68" w14:paraId="6C2667BF" w14:textId="77777777">
        <w:trPr>
          <w:jc w:val="center"/>
        </w:trPr>
        <w:tc>
          <w:tcPr>
            <w:tcW w:w="1209" w:type="dxa"/>
            <w:vAlign w:val="center"/>
          </w:tcPr>
          <w:p w14:paraId="62EFFB2A" w14:textId="77777777" w:rsidR="008F6B68" w:rsidRDefault="00000000">
            <w:pPr>
              <w:pStyle w:val="aff9"/>
              <w:ind w:firstLineChars="0" w:firstLine="0"/>
              <w:jc w:val="center"/>
              <w:rPr>
                <w:rFonts w:hAnsi="宋体" w:cs="宋体" w:hint="eastAsia"/>
                <w:szCs w:val="21"/>
              </w:rPr>
            </w:pPr>
            <w:r>
              <w:rPr>
                <w:rFonts w:hAnsi="宋体" w:cs="宋体" w:hint="eastAsia"/>
                <w:szCs w:val="21"/>
              </w:rPr>
              <w:t>IIS</w:t>
            </w:r>
          </w:p>
        </w:tc>
        <w:tc>
          <w:tcPr>
            <w:tcW w:w="7228" w:type="dxa"/>
            <w:vAlign w:val="center"/>
          </w:tcPr>
          <w:p w14:paraId="2B836E2C" w14:textId="77777777" w:rsidR="008F6B68" w:rsidRDefault="00000000">
            <w:pPr>
              <w:pStyle w:val="aff9"/>
              <w:ind w:firstLineChars="0" w:firstLine="0"/>
              <w:rPr>
                <w:rFonts w:hAnsi="宋体" w:cs="宋体" w:hint="eastAsia"/>
                <w:szCs w:val="21"/>
              </w:rPr>
            </w:pPr>
            <w:r>
              <w:rPr>
                <w:rFonts w:hAnsi="宋体" w:cs="宋体" w:hint="eastAsia"/>
                <w:szCs w:val="21"/>
              </w:rPr>
              <w:t>堆芯出口温度、由堆芯出口温度计算的RCS过冷度</w:t>
            </w:r>
          </w:p>
        </w:tc>
      </w:tr>
      <w:tr w:rsidR="008F6B68" w14:paraId="67A9AA63" w14:textId="77777777">
        <w:trPr>
          <w:jc w:val="center"/>
        </w:trPr>
        <w:tc>
          <w:tcPr>
            <w:tcW w:w="1209" w:type="dxa"/>
            <w:vAlign w:val="center"/>
          </w:tcPr>
          <w:p w14:paraId="1866FB75" w14:textId="77777777" w:rsidR="008F6B68" w:rsidRDefault="00000000">
            <w:pPr>
              <w:pStyle w:val="aff9"/>
              <w:ind w:firstLineChars="0" w:firstLine="0"/>
              <w:jc w:val="center"/>
              <w:rPr>
                <w:rFonts w:hAnsi="宋体" w:cs="宋体" w:hint="eastAsia"/>
                <w:szCs w:val="21"/>
              </w:rPr>
            </w:pPr>
            <w:r>
              <w:rPr>
                <w:rFonts w:hAnsi="宋体" w:cs="宋体" w:hint="eastAsia"/>
                <w:szCs w:val="21"/>
              </w:rPr>
              <w:t>PXS</w:t>
            </w:r>
          </w:p>
        </w:tc>
        <w:tc>
          <w:tcPr>
            <w:tcW w:w="7228" w:type="dxa"/>
            <w:vAlign w:val="center"/>
          </w:tcPr>
          <w:p w14:paraId="41C96EBA" w14:textId="77777777" w:rsidR="008F6B68" w:rsidRDefault="00000000">
            <w:pPr>
              <w:pStyle w:val="aff9"/>
              <w:ind w:firstLineChars="0" w:firstLine="0"/>
              <w:rPr>
                <w:rFonts w:hAnsi="宋体" w:cs="宋体" w:hint="eastAsia"/>
                <w:szCs w:val="21"/>
              </w:rPr>
            </w:pPr>
            <w:r>
              <w:rPr>
                <w:rFonts w:hAnsi="宋体" w:cs="宋体" w:hint="eastAsia"/>
                <w:szCs w:val="21"/>
              </w:rPr>
              <w:t>IRWST温度、CMT温度</w:t>
            </w:r>
          </w:p>
        </w:tc>
      </w:tr>
      <w:tr w:rsidR="008F6B68" w14:paraId="1019B338" w14:textId="77777777">
        <w:trPr>
          <w:jc w:val="center"/>
        </w:trPr>
        <w:tc>
          <w:tcPr>
            <w:tcW w:w="1209" w:type="dxa"/>
            <w:vAlign w:val="center"/>
          </w:tcPr>
          <w:p w14:paraId="72FA897A" w14:textId="77777777" w:rsidR="008F6B68" w:rsidRDefault="00000000">
            <w:pPr>
              <w:pStyle w:val="aff9"/>
              <w:ind w:firstLineChars="0" w:firstLine="0"/>
              <w:jc w:val="center"/>
              <w:rPr>
                <w:rFonts w:hAnsi="宋体" w:cs="宋体" w:hint="eastAsia"/>
                <w:szCs w:val="21"/>
              </w:rPr>
            </w:pPr>
            <w:r>
              <w:rPr>
                <w:rFonts w:hAnsi="宋体" w:cs="宋体" w:hint="eastAsia"/>
                <w:szCs w:val="21"/>
              </w:rPr>
              <w:t>RCS</w:t>
            </w:r>
          </w:p>
        </w:tc>
        <w:tc>
          <w:tcPr>
            <w:tcW w:w="7228" w:type="dxa"/>
            <w:vAlign w:val="center"/>
          </w:tcPr>
          <w:p w14:paraId="107914A5" w14:textId="77777777" w:rsidR="008F6B68" w:rsidRDefault="00000000">
            <w:pPr>
              <w:pStyle w:val="aff9"/>
              <w:ind w:firstLineChars="0" w:firstLine="0"/>
              <w:rPr>
                <w:rFonts w:hAnsi="宋体" w:cs="宋体" w:hint="eastAsia"/>
                <w:szCs w:val="21"/>
              </w:rPr>
            </w:pPr>
            <w:r>
              <w:rPr>
                <w:rFonts w:hAnsi="宋体" w:cs="宋体" w:hint="eastAsia"/>
                <w:szCs w:val="21"/>
              </w:rPr>
              <w:t>一回路压力、稳压器压力、稳压器水位、2个环路热段温度、2个环路冷段温度、降温速率、主泵转速</w:t>
            </w:r>
          </w:p>
        </w:tc>
      </w:tr>
      <w:tr w:rsidR="008F6B68" w14:paraId="47A1CF8E" w14:textId="77777777">
        <w:trPr>
          <w:jc w:val="center"/>
        </w:trPr>
        <w:tc>
          <w:tcPr>
            <w:tcW w:w="1209" w:type="dxa"/>
            <w:vAlign w:val="center"/>
          </w:tcPr>
          <w:p w14:paraId="44FD2470" w14:textId="77777777" w:rsidR="008F6B68" w:rsidRDefault="00000000">
            <w:pPr>
              <w:pStyle w:val="aff9"/>
              <w:ind w:firstLineChars="0" w:firstLine="0"/>
              <w:jc w:val="center"/>
              <w:rPr>
                <w:rFonts w:hAnsi="宋体" w:cs="宋体" w:hint="eastAsia"/>
                <w:szCs w:val="21"/>
              </w:rPr>
            </w:pPr>
            <w:r>
              <w:rPr>
                <w:rFonts w:hAnsi="宋体" w:cs="宋体" w:hint="eastAsia"/>
                <w:szCs w:val="21"/>
              </w:rPr>
              <w:t>SGS</w:t>
            </w:r>
          </w:p>
        </w:tc>
        <w:tc>
          <w:tcPr>
            <w:tcW w:w="7228" w:type="dxa"/>
            <w:vAlign w:val="center"/>
          </w:tcPr>
          <w:p w14:paraId="3E6BC643" w14:textId="77777777" w:rsidR="008F6B68" w:rsidRDefault="00000000">
            <w:pPr>
              <w:pStyle w:val="aff9"/>
              <w:ind w:firstLineChars="0" w:firstLine="0"/>
              <w:rPr>
                <w:rFonts w:hAnsi="宋体" w:cs="宋体" w:hint="eastAsia"/>
                <w:szCs w:val="21"/>
              </w:rPr>
            </w:pPr>
            <w:r>
              <w:rPr>
                <w:rFonts w:hAnsi="宋体" w:cs="宋体" w:hint="eastAsia"/>
                <w:szCs w:val="21"/>
              </w:rPr>
              <w:t>两台SG窄量程水位、两台SG压力、两台SG给水量</w:t>
            </w:r>
          </w:p>
        </w:tc>
      </w:tr>
      <w:tr w:rsidR="008F6B68" w14:paraId="19054F68" w14:textId="77777777">
        <w:trPr>
          <w:jc w:val="center"/>
        </w:trPr>
        <w:tc>
          <w:tcPr>
            <w:tcW w:w="1209" w:type="dxa"/>
            <w:vAlign w:val="center"/>
          </w:tcPr>
          <w:p w14:paraId="25A464E9" w14:textId="77777777" w:rsidR="008F6B68" w:rsidRDefault="00000000">
            <w:pPr>
              <w:pStyle w:val="aff9"/>
              <w:ind w:firstLineChars="0" w:firstLine="0"/>
              <w:jc w:val="center"/>
              <w:rPr>
                <w:rFonts w:hAnsi="宋体" w:cs="宋体" w:hint="eastAsia"/>
                <w:szCs w:val="21"/>
              </w:rPr>
            </w:pPr>
            <w:r>
              <w:rPr>
                <w:rFonts w:hAnsi="宋体" w:cs="宋体" w:hint="eastAsia"/>
                <w:szCs w:val="21"/>
              </w:rPr>
              <w:t>CNS</w:t>
            </w:r>
          </w:p>
        </w:tc>
        <w:tc>
          <w:tcPr>
            <w:tcW w:w="7228" w:type="dxa"/>
            <w:vAlign w:val="center"/>
          </w:tcPr>
          <w:p w14:paraId="2EC00ED2" w14:textId="77777777" w:rsidR="008F6B68" w:rsidRDefault="00000000">
            <w:pPr>
              <w:pStyle w:val="aff9"/>
              <w:ind w:firstLineChars="0" w:firstLine="0"/>
              <w:rPr>
                <w:rFonts w:hAnsi="宋体" w:cs="宋体" w:hint="eastAsia"/>
                <w:szCs w:val="21"/>
              </w:rPr>
            </w:pPr>
            <w:r>
              <w:rPr>
                <w:rFonts w:hAnsi="宋体" w:cs="宋体" w:hint="eastAsia"/>
                <w:szCs w:val="21"/>
              </w:rPr>
              <w:t>安全壳压力、安全壳温度、安全壳地坑液位、安全壳放射性</w:t>
            </w:r>
          </w:p>
        </w:tc>
      </w:tr>
      <w:tr w:rsidR="008F6B68" w14:paraId="2B75A969" w14:textId="77777777">
        <w:trPr>
          <w:jc w:val="center"/>
        </w:trPr>
        <w:tc>
          <w:tcPr>
            <w:tcW w:w="1209" w:type="dxa"/>
            <w:vAlign w:val="center"/>
          </w:tcPr>
          <w:p w14:paraId="7BC3F656" w14:textId="77777777" w:rsidR="008F6B68" w:rsidRDefault="00000000">
            <w:pPr>
              <w:pStyle w:val="aff9"/>
              <w:ind w:firstLineChars="0" w:firstLine="0"/>
              <w:jc w:val="center"/>
              <w:rPr>
                <w:rFonts w:hAnsi="宋体" w:cs="宋体" w:hint="eastAsia"/>
                <w:szCs w:val="21"/>
              </w:rPr>
            </w:pPr>
            <w:r>
              <w:rPr>
                <w:rFonts w:hAnsi="宋体" w:cs="宋体" w:hint="eastAsia"/>
                <w:szCs w:val="21"/>
              </w:rPr>
              <w:t>PCS</w:t>
            </w:r>
          </w:p>
        </w:tc>
        <w:tc>
          <w:tcPr>
            <w:tcW w:w="7228" w:type="dxa"/>
            <w:vAlign w:val="center"/>
          </w:tcPr>
          <w:p w14:paraId="27CE2BDE" w14:textId="77777777" w:rsidR="008F6B68" w:rsidRDefault="00000000">
            <w:pPr>
              <w:pStyle w:val="aff9"/>
              <w:ind w:firstLineChars="0" w:firstLine="0"/>
              <w:rPr>
                <w:rFonts w:hAnsi="宋体" w:cs="宋体" w:hint="eastAsia"/>
                <w:szCs w:val="21"/>
              </w:rPr>
            </w:pPr>
            <w:r>
              <w:rPr>
                <w:rFonts w:hAnsi="宋体" w:cs="宋体" w:hint="eastAsia"/>
                <w:szCs w:val="21"/>
              </w:rPr>
              <w:t>PCCWST（非能动安全壳冷却水储存箱）水位</w:t>
            </w:r>
          </w:p>
        </w:tc>
      </w:tr>
      <w:tr w:rsidR="008F6B68" w14:paraId="41A6A0B3" w14:textId="77777777">
        <w:trPr>
          <w:jc w:val="center"/>
        </w:trPr>
        <w:tc>
          <w:tcPr>
            <w:tcW w:w="1209" w:type="dxa"/>
            <w:vAlign w:val="center"/>
          </w:tcPr>
          <w:p w14:paraId="5BF0D8BD" w14:textId="77777777" w:rsidR="008F6B68" w:rsidRDefault="00000000">
            <w:pPr>
              <w:pStyle w:val="aff9"/>
              <w:ind w:firstLineChars="0" w:firstLine="0"/>
              <w:jc w:val="center"/>
              <w:rPr>
                <w:rFonts w:hAnsi="宋体" w:cs="宋体" w:hint="eastAsia"/>
                <w:szCs w:val="21"/>
              </w:rPr>
            </w:pPr>
            <w:r>
              <w:rPr>
                <w:rFonts w:hAnsi="宋体" w:cs="宋体" w:hint="eastAsia"/>
                <w:szCs w:val="21"/>
              </w:rPr>
              <w:t>CDS</w:t>
            </w:r>
          </w:p>
        </w:tc>
        <w:tc>
          <w:tcPr>
            <w:tcW w:w="7228" w:type="dxa"/>
            <w:vAlign w:val="center"/>
          </w:tcPr>
          <w:p w14:paraId="41B7C252" w14:textId="77777777" w:rsidR="008F6B68" w:rsidRDefault="00000000">
            <w:pPr>
              <w:pStyle w:val="aff9"/>
              <w:ind w:firstLineChars="0" w:firstLine="0"/>
              <w:rPr>
                <w:rFonts w:hAnsi="宋体" w:cs="宋体" w:hint="eastAsia"/>
                <w:szCs w:val="21"/>
              </w:rPr>
            </w:pPr>
            <w:r>
              <w:rPr>
                <w:rFonts w:hAnsi="宋体" w:cs="宋体" w:hint="eastAsia"/>
                <w:szCs w:val="21"/>
              </w:rPr>
              <w:t>除氧器水箱水位</w:t>
            </w:r>
          </w:p>
        </w:tc>
      </w:tr>
    </w:tbl>
    <w:p w14:paraId="306FD5DC" w14:textId="77777777" w:rsidR="008F6B68" w:rsidRDefault="008F6B68">
      <w:pPr>
        <w:pStyle w:val="aff9"/>
        <w:ind w:firstLineChars="0" w:firstLine="0"/>
        <w:rPr>
          <w:rFonts w:hAnsi="宋体" w:cs="宋体" w:hint="eastAsia"/>
          <w:szCs w:val="21"/>
        </w:rPr>
      </w:pPr>
    </w:p>
    <w:tbl>
      <w:tblPr>
        <w:tblStyle w:val="affd"/>
        <w:tblW w:w="0" w:type="auto"/>
        <w:jc w:val="center"/>
        <w:tblLayout w:type="fixed"/>
        <w:tblLook w:val="04A0" w:firstRow="1" w:lastRow="0" w:firstColumn="1" w:lastColumn="0" w:noHBand="0" w:noVBand="1"/>
      </w:tblPr>
      <w:tblGrid>
        <w:gridCol w:w="1196"/>
        <w:gridCol w:w="7249"/>
      </w:tblGrid>
      <w:tr w:rsidR="008F6B68" w14:paraId="487FF00F" w14:textId="77777777">
        <w:trPr>
          <w:jc w:val="center"/>
        </w:trPr>
        <w:tc>
          <w:tcPr>
            <w:tcW w:w="8445" w:type="dxa"/>
            <w:gridSpan w:val="2"/>
            <w:tcBorders>
              <w:top w:val="single" w:sz="4" w:space="0" w:color="auto"/>
              <w:left w:val="single" w:sz="4" w:space="0" w:color="auto"/>
              <w:bottom w:val="single" w:sz="4" w:space="0" w:color="auto"/>
              <w:right w:val="single" w:sz="4" w:space="0" w:color="auto"/>
            </w:tcBorders>
            <w:vAlign w:val="center"/>
          </w:tcPr>
          <w:p w14:paraId="4D6C22CD" w14:textId="77777777" w:rsidR="008F6B68" w:rsidRDefault="00000000">
            <w:pPr>
              <w:pStyle w:val="affa"/>
              <w:widowControl/>
              <w:autoSpaceDE w:val="0"/>
              <w:autoSpaceDN w:val="0"/>
              <w:spacing w:beforeAutospacing="0" w:afterAutospacing="0"/>
              <w:jc w:val="center"/>
              <w:rPr>
                <w:rFonts w:hAnsi="宋体" w:cs="宋体" w:hint="eastAsia"/>
                <w:sz w:val="21"/>
                <w:szCs w:val="21"/>
              </w:rPr>
            </w:pPr>
            <w:r>
              <w:rPr>
                <w:rFonts w:hAnsi="宋体" w:cs="宋体" w:hint="eastAsia"/>
                <w:sz w:val="21"/>
                <w:szCs w:val="21"/>
                <w:lang w:bidi="ar"/>
              </w:rPr>
              <w:t>适用于EPR系列机组</w:t>
            </w:r>
          </w:p>
        </w:tc>
      </w:tr>
      <w:tr w:rsidR="008F6B68" w14:paraId="5C230360" w14:textId="77777777">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6F294444" w14:textId="77777777" w:rsidR="008F6B68" w:rsidRDefault="00000000">
            <w:pPr>
              <w:pStyle w:val="affa"/>
              <w:widowControl/>
              <w:autoSpaceDE w:val="0"/>
              <w:autoSpaceDN w:val="0"/>
              <w:spacing w:beforeAutospacing="0" w:afterAutospacing="0"/>
              <w:ind w:leftChars="-28" w:left="-59" w:rightChars="-47" w:right="-99"/>
              <w:jc w:val="center"/>
              <w:rPr>
                <w:rFonts w:hAnsi="宋体" w:cs="宋体" w:hint="eastAsia"/>
                <w:sz w:val="21"/>
                <w:szCs w:val="21"/>
              </w:rPr>
            </w:pPr>
            <w:r>
              <w:rPr>
                <w:rFonts w:hAnsi="宋体" w:cs="宋体" w:hint="eastAsia"/>
                <w:sz w:val="21"/>
                <w:szCs w:val="21"/>
                <w:lang w:bidi="ar"/>
              </w:rPr>
              <w:t>系统或设备</w:t>
            </w:r>
          </w:p>
        </w:tc>
        <w:tc>
          <w:tcPr>
            <w:tcW w:w="7249" w:type="dxa"/>
            <w:tcBorders>
              <w:top w:val="single" w:sz="4" w:space="0" w:color="auto"/>
              <w:left w:val="single" w:sz="4" w:space="0" w:color="auto"/>
              <w:bottom w:val="single" w:sz="4" w:space="0" w:color="auto"/>
              <w:right w:val="single" w:sz="4" w:space="0" w:color="auto"/>
            </w:tcBorders>
            <w:vAlign w:val="center"/>
          </w:tcPr>
          <w:p w14:paraId="1D2CD639" w14:textId="77777777" w:rsidR="008F6B68" w:rsidRDefault="00000000">
            <w:pPr>
              <w:pStyle w:val="affa"/>
              <w:widowControl/>
              <w:autoSpaceDE w:val="0"/>
              <w:autoSpaceDN w:val="0"/>
              <w:spacing w:beforeAutospacing="0" w:afterAutospacing="0"/>
              <w:jc w:val="center"/>
              <w:rPr>
                <w:rFonts w:hAnsi="宋体" w:cs="宋体" w:hint="eastAsia"/>
                <w:sz w:val="21"/>
                <w:szCs w:val="21"/>
              </w:rPr>
            </w:pPr>
            <w:r>
              <w:rPr>
                <w:rFonts w:hAnsi="宋体" w:cs="宋体" w:hint="eastAsia"/>
                <w:sz w:val="21"/>
                <w:szCs w:val="21"/>
                <w:lang w:bidi="ar"/>
              </w:rPr>
              <w:t>参数</w:t>
            </w:r>
          </w:p>
        </w:tc>
      </w:tr>
      <w:tr w:rsidR="008F6B68" w14:paraId="433BF3FC" w14:textId="77777777">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46455C55" w14:textId="77777777" w:rsidR="008F6B68" w:rsidRDefault="00000000">
            <w:pPr>
              <w:jc w:val="center"/>
              <w:textAlignment w:val="center"/>
              <w:rPr>
                <w:rFonts w:hAnsi="宋体" w:cs="宋体" w:hint="eastAsia"/>
                <w:color w:val="000000"/>
                <w:kern w:val="0"/>
                <w:szCs w:val="21"/>
              </w:rPr>
            </w:pPr>
            <w:r>
              <w:rPr>
                <w:rFonts w:hAnsi="宋体" w:cs="宋体" w:hint="eastAsia"/>
                <w:color w:val="000000"/>
                <w:kern w:val="0"/>
                <w:szCs w:val="21"/>
                <w:lang w:bidi="ar"/>
              </w:rPr>
              <w:t>RPN</w:t>
            </w:r>
          </w:p>
        </w:tc>
        <w:tc>
          <w:tcPr>
            <w:tcW w:w="7249" w:type="dxa"/>
            <w:tcBorders>
              <w:top w:val="single" w:sz="4" w:space="0" w:color="auto"/>
              <w:left w:val="single" w:sz="4" w:space="0" w:color="auto"/>
              <w:bottom w:val="single" w:sz="4" w:space="0" w:color="auto"/>
              <w:right w:val="single" w:sz="4" w:space="0" w:color="auto"/>
            </w:tcBorders>
            <w:vAlign w:val="center"/>
          </w:tcPr>
          <w:p w14:paraId="6DF3F647" w14:textId="77777777" w:rsidR="008F6B68" w:rsidRDefault="00000000">
            <w:pPr>
              <w:jc w:val="left"/>
              <w:textAlignment w:val="center"/>
              <w:rPr>
                <w:rFonts w:hAnsi="宋体" w:cs="宋体" w:hint="eastAsia"/>
                <w:color w:val="000000"/>
                <w:kern w:val="0"/>
                <w:szCs w:val="21"/>
              </w:rPr>
            </w:pPr>
            <w:r>
              <w:rPr>
                <w:rFonts w:hAnsi="宋体" w:cs="宋体" w:hint="eastAsia"/>
                <w:color w:val="000000"/>
                <w:kern w:val="0"/>
                <w:szCs w:val="21"/>
                <w:lang w:bidi="ar"/>
              </w:rPr>
              <w:t>功率量程中子通量、中间量程中子通量、源量程中子通量</w:t>
            </w:r>
          </w:p>
        </w:tc>
      </w:tr>
      <w:tr w:rsidR="008F6B68" w14:paraId="3856E7D0" w14:textId="77777777">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6E0BDD7D" w14:textId="77777777" w:rsidR="008F6B68" w:rsidRDefault="00000000">
            <w:pPr>
              <w:jc w:val="center"/>
              <w:textAlignment w:val="center"/>
              <w:rPr>
                <w:rFonts w:hAnsi="宋体" w:cs="宋体" w:hint="eastAsia"/>
                <w:color w:val="000000"/>
                <w:kern w:val="0"/>
                <w:szCs w:val="21"/>
              </w:rPr>
            </w:pPr>
            <w:r>
              <w:rPr>
                <w:rFonts w:hAnsi="宋体" w:cs="宋体" w:hint="eastAsia"/>
                <w:color w:val="000000"/>
                <w:kern w:val="0"/>
                <w:szCs w:val="21"/>
                <w:lang w:bidi="ar"/>
              </w:rPr>
              <w:t>RIC</w:t>
            </w:r>
          </w:p>
        </w:tc>
        <w:tc>
          <w:tcPr>
            <w:tcW w:w="7249" w:type="dxa"/>
            <w:tcBorders>
              <w:top w:val="single" w:sz="4" w:space="0" w:color="auto"/>
              <w:left w:val="single" w:sz="4" w:space="0" w:color="auto"/>
              <w:bottom w:val="single" w:sz="4" w:space="0" w:color="auto"/>
              <w:right w:val="single" w:sz="4" w:space="0" w:color="auto"/>
            </w:tcBorders>
            <w:vAlign w:val="center"/>
          </w:tcPr>
          <w:p w14:paraId="583D0789" w14:textId="77777777" w:rsidR="008F6B68" w:rsidRDefault="00000000">
            <w:pPr>
              <w:jc w:val="left"/>
              <w:textAlignment w:val="center"/>
              <w:rPr>
                <w:rFonts w:hAnsi="宋体" w:cs="宋体" w:hint="eastAsia"/>
                <w:color w:val="000000"/>
                <w:kern w:val="0"/>
                <w:szCs w:val="21"/>
              </w:rPr>
            </w:pPr>
            <w:r>
              <w:rPr>
                <w:rFonts w:hAnsi="宋体" w:cs="宋体" w:hint="eastAsia"/>
                <w:color w:val="000000"/>
                <w:kern w:val="0"/>
                <w:szCs w:val="21"/>
                <w:lang w:bidi="ar"/>
              </w:rPr>
              <w:t>堆芯出口温度、由堆芯出口温度计算的RCS过冷度</w:t>
            </w:r>
          </w:p>
        </w:tc>
      </w:tr>
      <w:tr w:rsidR="008F6B68" w14:paraId="5A39ADBE" w14:textId="77777777">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7907F69E" w14:textId="77777777" w:rsidR="008F6B68" w:rsidRDefault="00000000">
            <w:pPr>
              <w:jc w:val="center"/>
              <w:textAlignment w:val="center"/>
              <w:rPr>
                <w:rFonts w:hAnsi="宋体" w:cs="宋体" w:hint="eastAsia"/>
                <w:color w:val="000000"/>
                <w:kern w:val="0"/>
                <w:szCs w:val="21"/>
              </w:rPr>
            </w:pPr>
            <w:r>
              <w:rPr>
                <w:rFonts w:hAnsi="宋体" w:cs="宋体" w:hint="eastAsia"/>
                <w:color w:val="000000"/>
                <w:kern w:val="0"/>
                <w:szCs w:val="21"/>
                <w:lang w:bidi="ar"/>
              </w:rPr>
              <w:t>RCP</w:t>
            </w:r>
          </w:p>
        </w:tc>
        <w:tc>
          <w:tcPr>
            <w:tcW w:w="7249" w:type="dxa"/>
            <w:tcBorders>
              <w:top w:val="single" w:sz="4" w:space="0" w:color="auto"/>
              <w:left w:val="single" w:sz="4" w:space="0" w:color="auto"/>
              <w:bottom w:val="single" w:sz="4" w:space="0" w:color="auto"/>
              <w:right w:val="single" w:sz="4" w:space="0" w:color="auto"/>
            </w:tcBorders>
            <w:vAlign w:val="center"/>
          </w:tcPr>
          <w:p w14:paraId="418D065B" w14:textId="77777777" w:rsidR="008F6B68" w:rsidRDefault="00000000">
            <w:pPr>
              <w:jc w:val="left"/>
              <w:textAlignment w:val="center"/>
              <w:rPr>
                <w:rFonts w:hAnsi="宋体" w:cs="宋体" w:hint="eastAsia"/>
                <w:color w:val="000000"/>
                <w:kern w:val="0"/>
                <w:szCs w:val="21"/>
              </w:rPr>
            </w:pPr>
            <w:r>
              <w:rPr>
                <w:rFonts w:hAnsi="宋体" w:cs="宋体" w:hint="eastAsia"/>
                <w:color w:val="000000"/>
                <w:kern w:val="0"/>
                <w:szCs w:val="21"/>
                <w:lang w:bidi="ar"/>
              </w:rPr>
              <w:t>一回路压力、稳压器压力、稳压器水位、4个环路热段温度、4个环路冷段温度、降温速率、主泵转速 堆芯平均温度、一回路硼浓度、IRWST温度、IRWST液位</w:t>
            </w:r>
          </w:p>
        </w:tc>
      </w:tr>
      <w:tr w:rsidR="008F6B68" w14:paraId="47B729DF" w14:textId="77777777">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71CB464F" w14:textId="77777777" w:rsidR="008F6B68" w:rsidRDefault="00000000">
            <w:pPr>
              <w:jc w:val="center"/>
              <w:textAlignment w:val="center"/>
              <w:rPr>
                <w:rFonts w:hAnsi="宋体" w:cs="宋体" w:hint="eastAsia"/>
                <w:color w:val="000000"/>
                <w:kern w:val="0"/>
                <w:szCs w:val="21"/>
              </w:rPr>
            </w:pPr>
            <w:r>
              <w:rPr>
                <w:rFonts w:hAnsi="宋体" w:cs="宋体" w:hint="eastAsia"/>
                <w:color w:val="000000"/>
                <w:kern w:val="0"/>
                <w:szCs w:val="21"/>
                <w:lang w:bidi="ar"/>
              </w:rPr>
              <w:t>ARE/VVP</w:t>
            </w:r>
          </w:p>
        </w:tc>
        <w:tc>
          <w:tcPr>
            <w:tcW w:w="7249" w:type="dxa"/>
            <w:tcBorders>
              <w:top w:val="single" w:sz="4" w:space="0" w:color="auto"/>
              <w:left w:val="single" w:sz="4" w:space="0" w:color="auto"/>
              <w:bottom w:val="single" w:sz="4" w:space="0" w:color="auto"/>
              <w:right w:val="single" w:sz="4" w:space="0" w:color="auto"/>
            </w:tcBorders>
            <w:vAlign w:val="center"/>
          </w:tcPr>
          <w:p w14:paraId="1E55414F" w14:textId="77777777" w:rsidR="008F6B68" w:rsidRDefault="00000000">
            <w:pPr>
              <w:jc w:val="left"/>
              <w:textAlignment w:val="center"/>
              <w:rPr>
                <w:rFonts w:hAnsi="宋体" w:cs="宋体" w:hint="eastAsia"/>
                <w:color w:val="000000"/>
                <w:kern w:val="0"/>
                <w:szCs w:val="21"/>
              </w:rPr>
            </w:pPr>
            <w:r>
              <w:rPr>
                <w:rFonts w:hAnsi="宋体" w:cs="宋体" w:hint="eastAsia"/>
                <w:color w:val="000000"/>
                <w:kern w:val="0"/>
                <w:szCs w:val="21"/>
                <w:lang w:bidi="ar"/>
              </w:rPr>
              <w:t>4台SG宽/窄量程水位、4台SG压力、4台SG给水量、蒸汽发生器放射性</w:t>
            </w:r>
          </w:p>
        </w:tc>
      </w:tr>
      <w:tr w:rsidR="008F6B68" w14:paraId="302E6EC8" w14:textId="77777777">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58CE365D" w14:textId="77777777" w:rsidR="008F6B68" w:rsidRDefault="00000000">
            <w:pPr>
              <w:jc w:val="center"/>
              <w:textAlignment w:val="center"/>
              <w:rPr>
                <w:rFonts w:hAnsi="宋体" w:cs="宋体" w:hint="eastAsia"/>
                <w:color w:val="000000"/>
                <w:kern w:val="0"/>
                <w:szCs w:val="21"/>
              </w:rPr>
            </w:pPr>
            <w:r>
              <w:rPr>
                <w:rFonts w:hAnsi="宋体" w:cs="宋体" w:hint="eastAsia"/>
                <w:color w:val="000000"/>
                <w:kern w:val="0"/>
                <w:szCs w:val="21"/>
                <w:lang w:bidi="ar"/>
              </w:rPr>
              <w:t>APG</w:t>
            </w:r>
          </w:p>
        </w:tc>
        <w:tc>
          <w:tcPr>
            <w:tcW w:w="7249" w:type="dxa"/>
            <w:tcBorders>
              <w:top w:val="single" w:sz="4" w:space="0" w:color="auto"/>
              <w:left w:val="single" w:sz="4" w:space="0" w:color="auto"/>
              <w:bottom w:val="single" w:sz="4" w:space="0" w:color="auto"/>
              <w:right w:val="single" w:sz="4" w:space="0" w:color="auto"/>
            </w:tcBorders>
            <w:vAlign w:val="center"/>
          </w:tcPr>
          <w:p w14:paraId="7A086C44" w14:textId="77777777" w:rsidR="008F6B68" w:rsidRDefault="00000000">
            <w:pPr>
              <w:jc w:val="left"/>
              <w:textAlignment w:val="center"/>
              <w:rPr>
                <w:rFonts w:hAnsi="宋体" w:cs="宋体" w:hint="eastAsia"/>
                <w:color w:val="000000"/>
                <w:kern w:val="0"/>
                <w:szCs w:val="21"/>
              </w:rPr>
            </w:pPr>
            <w:r>
              <w:rPr>
                <w:rFonts w:hAnsi="宋体" w:cs="宋体" w:hint="eastAsia"/>
                <w:color w:val="000000"/>
                <w:kern w:val="0"/>
                <w:szCs w:val="21"/>
                <w:lang w:bidi="ar"/>
              </w:rPr>
              <w:t>APG流量、APG放射性。</w:t>
            </w:r>
          </w:p>
        </w:tc>
      </w:tr>
      <w:tr w:rsidR="008F6B68" w14:paraId="01D67135" w14:textId="77777777">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005CAEB9" w14:textId="77777777" w:rsidR="008F6B68" w:rsidRDefault="00000000">
            <w:pPr>
              <w:jc w:val="center"/>
              <w:textAlignment w:val="center"/>
              <w:rPr>
                <w:rFonts w:hAnsi="宋体" w:cs="宋体" w:hint="eastAsia"/>
                <w:color w:val="000000"/>
                <w:kern w:val="0"/>
                <w:szCs w:val="21"/>
              </w:rPr>
            </w:pPr>
            <w:r>
              <w:rPr>
                <w:rFonts w:hAnsi="宋体" w:cs="宋体" w:hint="eastAsia"/>
                <w:color w:val="000000"/>
                <w:kern w:val="0"/>
                <w:szCs w:val="21"/>
                <w:lang w:bidi="ar"/>
              </w:rPr>
              <w:lastRenderedPageBreak/>
              <w:t>ASG</w:t>
            </w:r>
          </w:p>
        </w:tc>
        <w:tc>
          <w:tcPr>
            <w:tcW w:w="7249" w:type="dxa"/>
            <w:tcBorders>
              <w:top w:val="single" w:sz="4" w:space="0" w:color="auto"/>
              <w:left w:val="single" w:sz="4" w:space="0" w:color="auto"/>
              <w:bottom w:val="single" w:sz="4" w:space="0" w:color="auto"/>
              <w:right w:val="single" w:sz="4" w:space="0" w:color="auto"/>
            </w:tcBorders>
            <w:vAlign w:val="center"/>
          </w:tcPr>
          <w:p w14:paraId="7EA7AE4B" w14:textId="77777777" w:rsidR="008F6B68" w:rsidRDefault="00000000">
            <w:pPr>
              <w:jc w:val="left"/>
              <w:textAlignment w:val="center"/>
              <w:rPr>
                <w:rFonts w:hAnsi="宋体" w:cs="宋体" w:hint="eastAsia"/>
                <w:color w:val="000000"/>
                <w:kern w:val="0"/>
                <w:szCs w:val="21"/>
              </w:rPr>
            </w:pPr>
            <w:r>
              <w:rPr>
                <w:rFonts w:hAnsi="宋体" w:cs="宋体" w:hint="eastAsia"/>
                <w:color w:val="000000"/>
                <w:kern w:val="0"/>
                <w:szCs w:val="21"/>
                <w:lang w:bidi="ar"/>
              </w:rPr>
              <w:t>ASG泵流量、ASG水箱液位</w:t>
            </w:r>
          </w:p>
        </w:tc>
      </w:tr>
      <w:tr w:rsidR="008F6B68" w14:paraId="357CDAAA" w14:textId="77777777">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1AC1A6CB" w14:textId="77777777" w:rsidR="008F6B68" w:rsidRDefault="00000000">
            <w:pPr>
              <w:jc w:val="center"/>
              <w:textAlignment w:val="center"/>
              <w:rPr>
                <w:rFonts w:hAnsi="宋体" w:cs="宋体" w:hint="eastAsia"/>
                <w:color w:val="000000"/>
                <w:kern w:val="0"/>
                <w:szCs w:val="21"/>
              </w:rPr>
            </w:pPr>
            <w:r>
              <w:rPr>
                <w:rFonts w:hAnsi="宋体" w:cs="宋体" w:hint="eastAsia"/>
                <w:color w:val="000000"/>
                <w:kern w:val="0"/>
                <w:szCs w:val="21"/>
                <w:lang w:bidi="ar"/>
              </w:rPr>
              <w:t>EPP/RPE/ETY</w:t>
            </w:r>
          </w:p>
        </w:tc>
        <w:tc>
          <w:tcPr>
            <w:tcW w:w="7249" w:type="dxa"/>
            <w:tcBorders>
              <w:top w:val="single" w:sz="4" w:space="0" w:color="auto"/>
              <w:left w:val="single" w:sz="4" w:space="0" w:color="auto"/>
              <w:bottom w:val="single" w:sz="4" w:space="0" w:color="auto"/>
              <w:right w:val="single" w:sz="4" w:space="0" w:color="auto"/>
            </w:tcBorders>
            <w:vAlign w:val="center"/>
          </w:tcPr>
          <w:p w14:paraId="1228777E" w14:textId="77777777" w:rsidR="008F6B68" w:rsidRDefault="00000000">
            <w:pPr>
              <w:jc w:val="left"/>
              <w:textAlignment w:val="center"/>
              <w:rPr>
                <w:rFonts w:hAnsi="宋体" w:cs="宋体" w:hint="eastAsia"/>
                <w:color w:val="000000"/>
                <w:kern w:val="0"/>
                <w:szCs w:val="21"/>
              </w:rPr>
            </w:pPr>
            <w:r>
              <w:rPr>
                <w:rFonts w:hAnsi="宋体" w:cs="宋体" w:hint="eastAsia"/>
                <w:color w:val="000000"/>
                <w:kern w:val="0"/>
                <w:szCs w:val="21"/>
                <w:lang w:bidi="ar"/>
              </w:rPr>
              <w:t>安全壳压力、安全壳温度、安全壳地坑液位、安全壳放射性、安全壳氢含量</w:t>
            </w:r>
          </w:p>
        </w:tc>
      </w:tr>
      <w:tr w:rsidR="008F6B68" w14:paraId="537ED909" w14:textId="77777777">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11DD86F3" w14:textId="77777777" w:rsidR="008F6B68" w:rsidRDefault="00000000">
            <w:pPr>
              <w:jc w:val="center"/>
              <w:textAlignment w:val="center"/>
              <w:rPr>
                <w:rFonts w:hAnsi="宋体" w:cs="宋体" w:hint="eastAsia"/>
                <w:color w:val="000000"/>
                <w:kern w:val="0"/>
                <w:szCs w:val="21"/>
              </w:rPr>
            </w:pPr>
            <w:r>
              <w:rPr>
                <w:rFonts w:hAnsi="宋体" w:cs="宋体" w:hint="eastAsia"/>
                <w:color w:val="000000"/>
                <w:kern w:val="0"/>
                <w:szCs w:val="21"/>
                <w:lang w:bidi="ar"/>
              </w:rPr>
              <w:t>ADG</w:t>
            </w:r>
          </w:p>
        </w:tc>
        <w:tc>
          <w:tcPr>
            <w:tcW w:w="7249" w:type="dxa"/>
            <w:tcBorders>
              <w:top w:val="single" w:sz="4" w:space="0" w:color="auto"/>
              <w:left w:val="single" w:sz="4" w:space="0" w:color="auto"/>
              <w:bottom w:val="single" w:sz="4" w:space="0" w:color="auto"/>
              <w:right w:val="single" w:sz="4" w:space="0" w:color="auto"/>
            </w:tcBorders>
            <w:vAlign w:val="center"/>
          </w:tcPr>
          <w:p w14:paraId="7A8ECDEC" w14:textId="77777777" w:rsidR="008F6B68" w:rsidRDefault="00000000">
            <w:pPr>
              <w:jc w:val="left"/>
              <w:textAlignment w:val="center"/>
              <w:rPr>
                <w:rFonts w:hAnsi="宋体" w:cs="宋体" w:hint="eastAsia"/>
                <w:color w:val="000000"/>
                <w:kern w:val="0"/>
                <w:szCs w:val="21"/>
              </w:rPr>
            </w:pPr>
            <w:r>
              <w:rPr>
                <w:rFonts w:hAnsi="宋体" w:cs="宋体" w:hint="eastAsia"/>
                <w:color w:val="000000"/>
                <w:kern w:val="0"/>
                <w:szCs w:val="21"/>
                <w:lang w:bidi="ar"/>
              </w:rPr>
              <w:t>除氧器水箱水位</w:t>
            </w:r>
          </w:p>
        </w:tc>
      </w:tr>
      <w:tr w:rsidR="008F6B68" w14:paraId="42021DDB" w14:textId="77777777">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44590350" w14:textId="77777777" w:rsidR="008F6B68" w:rsidRDefault="00000000">
            <w:pPr>
              <w:widowControl/>
              <w:jc w:val="center"/>
              <w:textAlignment w:val="center"/>
              <w:rPr>
                <w:rFonts w:hAnsi="宋体" w:cs="宋体" w:hint="eastAsia"/>
                <w:color w:val="000000"/>
                <w:kern w:val="0"/>
                <w:szCs w:val="21"/>
              </w:rPr>
            </w:pPr>
            <w:r>
              <w:rPr>
                <w:rFonts w:hAnsi="宋体" w:cs="宋体" w:hint="eastAsia"/>
                <w:color w:val="000000"/>
                <w:kern w:val="0"/>
                <w:szCs w:val="21"/>
                <w:lang w:bidi="ar"/>
              </w:rPr>
              <w:t>REA</w:t>
            </w:r>
          </w:p>
        </w:tc>
        <w:tc>
          <w:tcPr>
            <w:tcW w:w="7249" w:type="dxa"/>
            <w:tcBorders>
              <w:top w:val="single" w:sz="4" w:space="0" w:color="auto"/>
              <w:left w:val="single" w:sz="4" w:space="0" w:color="auto"/>
              <w:bottom w:val="single" w:sz="4" w:space="0" w:color="auto"/>
              <w:right w:val="single" w:sz="4" w:space="0" w:color="auto"/>
            </w:tcBorders>
            <w:vAlign w:val="center"/>
          </w:tcPr>
          <w:p w14:paraId="25E0F41F" w14:textId="77777777" w:rsidR="008F6B68" w:rsidRDefault="00000000">
            <w:pPr>
              <w:widowControl/>
              <w:jc w:val="left"/>
              <w:textAlignment w:val="center"/>
              <w:rPr>
                <w:rFonts w:hAnsi="宋体" w:cs="宋体" w:hint="eastAsia"/>
                <w:color w:val="000000"/>
                <w:kern w:val="0"/>
                <w:szCs w:val="21"/>
              </w:rPr>
            </w:pPr>
            <w:r>
              <w:rPr>
                <w:rFonts w:hAnsi="宋体" w:cs="宋体" w:hint="eastAsia"/>
                <w:color w:val="000000"/>
                <w:kern w:val="0"/>
                <w:szCs w:val="21"/>
                <w:lang w:bidi="ar"/>
              </w:rPr>
              <w:t xml:space="preserve">硼化流量 </w:t>
            </w:r>
          </w:p>
        </w:tc>
      </w:tr>
      <w:tr w:rsidR="008F6B68" w14:paraId="0B344CEB" w14:textId="77777777">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6640372B" w14:textId="77777777" w:rsidR="008F6B68" w:rsidRDefault="00000000">
            <w:pPr>
              <w:widowControl/>
              <w:jc w:val="center"/>
              <w:textAlignment w:val="center"/>
              <w:rPr>
                <w:rFonts w:hAnsi="宋体" w:cs="宋体" w:hint="eastAsia"/>
                <w:color w:val="000000"/>
                <w:kern w:val="0"/>
                <w:szCs w:val="21"/>
              </w:rPr>
            </w:pPr>
            <w:r>
              <w:rPr>
                <w:rFonts w:hAnsi="宋体" w:cs="宋体" w:hint="eastAsia"/>
                <w:color w:val="000000"/>
                <w:kern w:val="0"/>
                <w:szCs w:val="21"/>
                <w:lang w:bidi="ar"/>
              </w:rPr>
              <w:t>RBS</w:t>
            </w:r>
          </w:p>
        </w:tc>
        <w:tc>
          <w:tcPr>
            <w:tcW w:w="7249" w:type="dxa"/>
            <w:tcBorders>
              <w:top w:val="single" w:sz="4" w:space="0" w:color="auto"/>
              <w:left w:val="single" w:sz="4" w:space="0" w:color="auto"/>
              <w:bottom w:val="single" w:sz="4" w:space="0" w:color="auto"/>
              <w:right w:val="single" w:sz="4" w:space="0" w:color="auto"/>
            </w:tcBorders>
            <w:vAlign w:val="center"/>
          </w:tcPr>
          <w:p w14:paraId="489159F1" w14:textId="77777777" w:rsidR="008F6B68" w:rsidRDefault="00000000">
            <w:pPr>
              <w:widowControl/>
              <w:jc w:val="left"/>
              <w:textAlignment w:val="center"/>
              <w:rPr>
                <w:rFonts w:hAnsi="宋体" w:cs="宋体" w:hint="eastAsia"/>
                <w:color w:val="000000"/>
                <w:kern w:val="0"/>
                <w:szCs w:val="21"/>
              </w:rPr>
            </w:pPr>
            <w:r>
              <w:rPr>
                <w:rFonts w:hAnsi="宋体" w:cs="宋体" w:hint="eastAsia"/>
                <w:color w:val="000000"/>
                <w:kern w:val="0"/>
                <w:szCs w:val="21"/>
                <w:lang w:bidi="ar"/>
              </w:rPr>
              <w:t xml:space="preserve">应急硼化流量 </w:t>
            </w:r>
          </w:p>
        </w:tc>
      </w:tr>
      <w:tr w:rsidR="008F6B68" w14:paraId="27630AF9" w14:textId="77777777">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70778918" w14:textId="77777777" w:rsidR="008F6B68" w:rsidRDefault="00000000">
            <w:pPr>
              <w:widowControl/>
              <w:jc w:val="center"/>
              <w:textAlignment w:val="center"/>
              <w:rPr>
                <w:rFonts w:hAnsi="宋体" w:cs="宋体" w:hint="eastAsia"/>
                <w:color w:val="000000"/>
                <w:kern w:val="0"/>
                <w:szCs w:val="21"/>
              </w:rPr>
            </w:pPr>
            <w:r>
              <w:rPr>
                <w:rFonts w:hAnsi="宋体" w:cs="宋体" w:hint="eastAsia"/>
                <w:color w:val="000000"/>
                <w:kern w:val="0"/>
                <w:szCs w:val="21"/>
                <w:lang w:bidi="ar"/>
              </w:rPr>
              <w:t>VDA</w:t>
            </w:r>
          </w:p>
        </w:tc>
        <w:tc>
          <w:tcPr>
            <w:tcW w:w="7249" w:type="dxa"/>
            <w:tcBorders>
              <w:top w:val="single" w:sz="4" w:space="0" w:color="auto"/>
              <w:left w:val="single" w:sz="4" w:space="0" w:color="auto"/>
              <w:bottom w:val="single" w:sz="4" w:space="0" w:color="auto"/>
              <w:right w:val="single" w:sz="4" w:space="0" w:color="auto"/>
            </w:tcBorders>
            <w:vAlign w:val="center"/>
          </w:tcPr>
          <w:p w14:paraId="34D340A0" w14:textId="77777777" w:rsidR="008F6B68" w:rsidRDefault="00000000">
            <w:pPr>
              <w:widowControl/>
              <w:jc w:val="left"/>
              <w:textAlignment w:val="center"/>
              <w:rPr>
                <w:rFonts w:hAnsi="宋体" w:cs="宋体" w:hint="eastAsia"/>
                <w:color w:val="000000"/>
                <w:kern w:val="0"/>
                <w:szCs w:val="21"/>
              </w:rPr>
            </w:pPr>
            <w:r>
              <w:rPr>
                <w:rFonts w:hAnsi="宋体" w:cs="宋体" w:hint="eastAsia"/>
                <w:color w:val="000000"/>
                <w:kern w:val="0"/>
                <w:szCs w:val="21"/>
                <w:lang w:bidi="ar"/>
              </w:rPr>
              <w:t>VDA排放阀开度</w:t>
            </w:r>
          </w:p>
        </w:tc>
      </w:tr>
      <w:tr w:rsidR="008F6B68" w14:paraId="7F84FF17" w14:textId="77777777">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1DA8CBED" w14:textId="77777777" w:rsidR="008F6B68" w:rsidRDefault="00000000">
            <w:pPr>
              <w:widowControl/>
              <w:jc w:val="center"/>
              <w:textAlignment w:val="center"/>
              <w:rPr>
                <w:rFonts w:hAnsi="宋体" w:cs="宋体" w:hint="eastAsia"/>
                <w:color w:val="000000"/>
                <w:kern w:val="0"/>
                <w:szCs w:val="21"/>
              </w:rPr>
            </w:pPr>
            <w:r>
              <w:rPr>
                <w:rFonts w:hAnsi="宋体" w:cs="宋体" w:hint="eastAsia"/>
                <w:color w:val="000000"/>
                <w:kern w:val="0"/>
                <w:szCs w:val="21"/>
                <w:lang w:bidi="ar"/>
              </w:rPr>
              <w:t>GCT</w:t>
            </w:r>
          </w:p>
        </w:tc>
        <w:tc>
          <w:tcPr>
            <w:tcW w:w="7249" w:type="dxa"/>
            <w:tcBorders>
              <w:top w:val="single" w:sz="4" w:space="0" w:color="auto"/>
              <w:left w:val="single" w:sz="4" w:space="0" w:color="auto"/>
              <w:bottom w:val="single" w:sz="4" w:space="0" w:color="auto"/>
              <w:right w:val="single" w:sz="4" w:space="0" w:color="auto"/>
            </w:tcBorders>
            <w:vAlign w:val="center"/>
          </w:tcPr>
          <w:p w14:paraId="6FA3F1ED" w14:textId="77777777" w:rsidR="008F6B68" w:rsidRDefault="00000000">
            <w:pPr>
              <w:widowControl/>
              <w:jc w:val="left"/>
              <w:textAlignment w:val="center"/>
              <w:rPr>
                <w:rFonts w:hAnsi="宋体" w:cs="宋体" w:hint="eastAsia"/>
                <w:color w:val="000000"/>
                <w:kern w:val="0"/>
                <w:szCs w:val="21"/>
              </w:rPr>
            </w:pPr>
            <w:r>
              <w:rPr>
                <w:rFonts w:hAnsi="宋体" w:cs="宋体" w:hint="eastAsia"/>
                <w:color w:val="000000"/>
                <w:kern w:val="0"/>
                <w:szCs w:val="21"/>
                <w:lang w:bidi="ar"/>
              </w:rPr>
              <w:t>GCT排放阀开度</w:t>
            </w:r>
          </w:p>
        </w:tc>
      </w:tr>
      <w:tr w:rsidR="008F6B68" w14:paraId="065478B5" w14:textId="77777777">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2C3B0812" w14:textId="77777777" w:rsidR="008F6B68" w:rsidRDefault="00000000">
            <w:pPr>
              <w:widowControl/>
              <w:jc w:val="center"/>
              <w:textAlignment w:val="center"/>
              <w:rPr>
                <w:rFonts w:hAnsi="宋体" w:cs="宋体" w:hint="eastAsia"/>
                <w:color w:val="000000"/>
                <w:kern w:val="0"/>
                <w:szCs w:val="21"/>
              </w:rPr>
            </w:pPr>
            <w:r>
              <w:rPr>
                <w:rFonts w:hAnsi="宋体" w:cs="宋体" w:hint="eastAsia"/>
                <w:color w:val="000000"/>
                <w:kern w:val="0"/>
                <w:szCs w:val="21"/>
                <w:lang w:bidi="ar"/>
              </w:rPr>
              <w:t>RIS/RHR</w:t>
            </w:r>
          </w:p>
        </w:tc>
        <w:tc>
          <w:tcPr>
            <w:tcW w:w="7249" w:type="dxa"/>
            <w:tcBorders>
              <w:top w:val="single" w:sz="4" w:space="0" w:color="auto"/>
              <w:left w:val="single" w:sz="4" w:space="0" w:color="auto"/>
              <w:bottom w:val="single" w:sz="4" w:space="0" w:color="auto"/>
              <w:right w:val="single" w:sz="4" w:space="0" w:color="auto"/>
            </w:tcBorders>
            <w:vAlign w:val="center"/>
          </w:tcPr>
          <w:p w14:paraId="6FB177F9" w14:textId="77777777" w:rsidR="008F6B68" w:rsidRDefault="00000000">
            <w:pPr>
              <w:widowControl/>
              <w:jc w:val="left"/>
              <w:textAlignment w:val="center"/>
              <w:rPr>
                <w:rFonts w:hAnsi="宋体" w:cs="宋体" w:hint="eastAsia"/>
                <w:color w:val="000000"/>
                <w:kern w:val="0"/>
                <w:szCs w:val="21"/>
              </w:rPr>
            </w:pPr>
            <w:r>
              <w:rPr>
                <w:rFonts w:hAnsi="宋体" w:cs="宋体" w:hint="eastAsia"/>
                <w:color w:val="000000"/>
                <w:kern w:val="0"/>
                <w:szCs w:val="21"/>
                <w:lang w:bidi="ar"/>
              </w:rPr>
              <w:t>中压安注压力/流量、低压安注压力/流量、RHR功能下的冷却流量、安注罐压力/体积</w:t>
            </w:r>
          </w:p>
        </w:tc>
      </w:tr>
      <w:tr w:rsidR="008F6B68" w14:paraId="255C8E89" w14:textId="77777777">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71A764EF" w14:textId="77777777" w:rsidR="008F6B68" w:rsidRDefault="00000000">
            <w:pPr>
              <w:widowControl/>
              <w:jc w:val="center"/>
              <w:textAlignment w:val="center"/>
              <w:rPr>
                <w:rFonts w:hAnsi="宋体" w:cs="宋体" w:hint="eastAsia"/>
                <w:color w:val="000000"/>
                <w:kern w:val="0"/>
                <w:szCs w:val="21"/>
              </w:rPr>
            </w:pPr>
            <w:r>
              <w:rPr>
                <w:rFonts w:hAnsi="宋体" w:cs="宋体" w:hint="eastAsia"/>
                <w:color w:val="000000"/>
                <w:kern w:val="0"/>
                <w:szCs w:val="21"/>
                <w:lang w:bidi="ar"/>
              </w:rPr>
              <w:t>RCV</w:t>
            </w:r>
          </w:p>
        </w:tc>
        <w:tc>
          <w:tcPr>
            <w:tcW w:w="7249" w:type="dxa"/>
            <w:tcBorders>
              <w:top w:val="single" w:sz="4" w:space="0" w:color="auto"/>
              <w:left w:val="single" w:sz="4" w:space="0" w:color="auto"/>
              <w:bottom w:val="single" w:sz="4" w:space="0" w:color="auto"/>
              <w:right w:val="single" w:sz="4" w:space="0" w:color="auto"/>
            </w:tcBorders>
            <w:vAlign w:val="center"/>
          </w:tcPr>
          <w:p w14:paraId="3DD812F8" w14:textId="77777777" w:rsidR="008F6B68" w:rsidRDefault="00000000">
            <w:pPr>
              <w:widowControl/>
              <w:jc w:val="left"/>
              <w:textAlignment w:val="center"/>
              <w:rPr>
                <w:rFonts w:hAnsi="宋体" w:cs="宋体" w:hint="eastAsia"/>
                <w:color w:val="000000"/>
                <w:kern w:val="0"/>
                <w:szCs w:val="21"/>
              </w:rPr>
            </w:pPr>
            <w:r>
              <w:rPr>
                <w:rFonts w:hAnsi="宋体" w:cs="宋体" w:hint="eastAsia"/>
                <w:color w:val="000000"/>
                <w:kern w:val="0"/>
                <w:szCs w:val="21"/>
                <w:lang w:bidi="ar"/>
              </w:rPr>
              <w:t>上充流量、下泄流量、辅助喷淋流量、轴封注入流量、上充硼浓度、balance值</w:t>
            </w:r>
          </w:p>
        </w:tc>
      </w:tr>
      <w:tr w:rsidR="008F6B68" w14:paraId="2A3E3AF8" w14:textId="77777777">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6AD4DA76" w14:textId="77777777" w:rsidR="008F6B68" w:rsidRDefault="00000000">
            <w:pPr>
              <w:widowControl/>
              <w:jc w:val="center"/>
              <w:textAlignment w:val="center"/>
              <w:rPr>
                <w:rFonts w:hAnsi="宋体" w:cs="宋体" w:hint="eastAsia"/>
                <w:color w:val="000000"/>
                <w:kern w:val="0"/>
                <w:szCs w:val="21"/>
              </w:rPr>
            </w:pPr>
            <w:r>
              <w:rPr>
                <w:rFonts w:hAnsi="宋体" w:cs="宋体" w:hint="eastAsia"/>
                <w:color w:val="000000"/>
                <w:kern w:val="0"/>
                <w:szCs w:val="21"/>
                <w:lang w:bidi="ar"/>
              </w:rPr>
              <w:t>GSE/CVI</w:t>
            </w:r>
          </w:p>
        </w:tc>
        <w:tc>
          <w:tcPr>
            <w:tcW w:w="7249" w:type="dxa"/>
            <w:tcBorders>
              <w:top w:val="single" w:sz="4" w:space="0" w:color="auto"/>
              <w:left w:val="single" w:sz="4" w:space="0" w:color="auto"/>
              <w:bottom w:val="single" w:sz="4" w:space="0" w:color="auto"/>
              <w:right w:val="single" w:sz="4" w:space="0" w:color="auto"/>
            </w:tcBorders>
            <w:vAlign w:val="center"/>
          </w:tcPr>
          <w:p w14:paraId="02CDBFA8" w14:textId="77777777" w:rsidR="008F6B68" w:rsidRDefault="00000000">
            <w:pPr>
              <w:widowControl/>
              <w:jc w:val="left"/>
              <w:textAlignment w:val="center"/>
              <w:rPr>
                <w:rFonts w:hAnsi="宋体" w:cs="宋体" w:hint="eastAsia"/>
                <w:color w:val="000000"/>
                <w:kern w:val="0"/>
                <w:szCs w:val="21"/>
              </w:rPr>
            </w:pPr>
            <w:r>
              <w:rPr>
                <w:rFonts w:hAnsi="宋体" w:cs="宋体" w:hint="eastAsia"/>
                <w:color w:val="000000"/>
                <w:kern w:val="0"/>
                <w:szCs w:val="21"/>
                <w:lang w:bidi="ar"/>
              </w:rPr>
              <w:t>凝汽器真空</w:t>
            </w:r>
          </w:p>
        </w:tc>
      </w:tr>
    </w:tbl>
    <w:p w14:paraId="3068F2A5" w14:textId="77777777" w:rsidR="008F6B68" w:rsidRDefault="008F6B68">
      <w:pPr>
        <w:pStyle w:val="aff9"/>
        <w:ind w:firstLineChars="0" w:firstLine="0"/>
        <w:rPr>
          <w:rFonts w:hAnsi="宋体" w:cs="宋体" w:hint="eastAsia"/>
          <w:szCs w:val="21"/>
        </w:rPr>
      </w:pPr>
    </w:p>
    <w:p w14:paraId="45317769" w14:textId="77777777" w:rsidR="008F6B68" w:rsidRDefault="00000000">
      <w:pPr>
        <w:pStyle w:val="aff9"/>
        <w:rPr>
          <w:szCs w:val="21"/>
        </w:rPr>
      </w:pPr>
      <w:r>
        <w:rPr>
          <w:rFonts w:hint="eastAsia"/>
          <w:szCs w:val="21"/>
        </w:rPr>
        <w:t>对于M310系列机组，为满足事故工况下设备正常运行及人员操作的环境要求，所需安全相关辅助功能的通风空调系统至少应包括上充泵房应急通风系统（DVH）、柴油发电机厂房通风系统（DVD）、核燃料厂房通风系统（DVK）、安全壳环廊通风系统（DVW）和控制区可居留间空调系统（DVC/DCL），必须保证这些系统在事故工况下需要执行的安全功能。在满足安全功能的前提下，上述系统可采用电气厂房就地操作的方式启动。</w:t>
      </w:r>
    </w:p>
    <w:p w14:paraId="15BEDE53" w14:textId="77777777" w:rsidR="008F6B68" w:rsidRDefault="00000000">
      <w:pPr>
        <w:pStyle w:val="aff9"/>
        <w:rPr>
          <w:szCs w:val="21"/>
        </w:rPr>
      </w:pPr>
      <w:r>
        <w:rPr>
          <w:rFonts w:hint="eastAsia"/>
          <w:szCs w:val="21"/>
          <w:lang w:bidi="ar"/>
        </w:rPr>
        <w:t>对于华龙一号系列机组，为满足事故工况下设备正常运行及人员操作的环境要求，所需安全相关辅助功能的通风空调系统至少应包括安全厂房控制区通风系统（DWL）、柴油发电机厂房通风系统（DVD）、核燃料厂房通风系统（DWK）和主控室可居留间空调系统（DCL），必须保证这些系统在事故工况下需要执行的安全功能。</w:t>
      </w:r>
    </w:p>
    <w:p w14:paraId="5663CE33" w14:textId="77777777" w:rsidR="008F6B68" w:rsidRDefault="00000000">
      <w:pPr>
        <w:pStyle w:val="aff9"/>
        <w:rPr>
          <w:szCs w:val="21"/>
        </w:rPr>
      </w:pPr>
      <w:r>
        <w:rPr>
          <w:rFonts w:hint="eastAsia"/>
          <w:szCs w:val="21"/>
        </w:rPr>
        <w:t>对于AP1000系列机组，安全相关通风空调系统仅需要主控室应急可居留系统（VES）可运行，已保证主控室值班人员事故后72h值班需求。非安全相关核岛非放射性通风系统（VBS）仅需要其在发生设计基准事故后隔离主控室以及监视主控室送风的放射性用以产生PMS信号触发VES。对于非安全相关放射性控制区域通风系统（VAS）中仅需要RNS泵房和CVS补水泵房单元通风冷却可用，以支持RNS泵和CVS补水泵行使其纵深防御功能。</w:t>
      </w:r>
    </w:p>
    <w:p w14:paraId="4DEA4F45" w14:textId="77777777" w:rsidR="008F6B68" w:rsidRDefault="00000000">
      <w:pPr>
        <w:pStyle w:val="aff9"/>
        <w:rPr>
          <w:szCs w:val="21"/>
        </w:rPr>
      </w:pPr>
      <w:r>
        <w:rPr>
          <w:rFonts w:hint="eastAsia"/>
          <w:szCs w:val="21"/>
          <w:lang w:bidi="ar"/>
        </w:rPr>
        <w:t>对于EPR系列机组，通风系统或系统的一部分直接执行第三基本安全功能：放射性物质包容。DWN/DWK/EBA/DWL/DWQ/DWW/EDE这些系统在DBC、DEC-A或DEC-B事件时，限制放射性物质向环境中排放。采暖、通风、空调与制冷作为支持系统（EVR/DCL/DVL/DVD/DVS/DWK/DWL），维持环境条件在人员和设备可接受的范围内（温度和新风），保证DBC、DEC-A和DEC-B事件时安全级系统正常运行。</w:t>
      </w:r>
    </w:p>
    <w:p w14:paraId="30EFF49E" w14:textId="77777777" w:rsidR="008F6B68" w:rsidRDefault="00000000">
      <w:pPr>
        <w:pStyle w:val="a4"/>
        <w:rPr>
          <w:szCs w:val="21"/>
        </w:rPr>
      </w:pPr>
      <w:bookmarkStart w:id="103" w:name="_Toc16537"/>
      <w:bookmarkStart w:id="104" w:name="_Toc3636"/>
      <w:bookmarkStart w:id="105" w:name="_Toc398"/>
      <w:bookmarkStart w:id="106" w:name="_Toc19719"/>
      <w:r>
        <w:rPr>
          <w:rFonts w:hint="eastAsia"/>
          <w:szCs w:val="21"/>
        </w:rPr>
        <w:t>核安全法规要求</w:t>
      </w:r>
      <w:bookmarkEnd w:id="103"/>
      <w:bookmarkEnd w:id="104"/>
      <w:bookmarkEnd w:id="105"/>
      <w:bookmarkEnd w:id="106"/>
    </w:p>
    <w:p w14:paraId="0088101E" w14:textId="77777777" w:rsidR="008F6B68" w:rsidRDefault="00000000">
      <w:pPr>
        <w:pStyle w:val="afff5"/>
      </w:pPr>
      <w:bookmarkStart w:id="107" w:name="_Toc142042988"/>
      <w:bookmarkStart w:id="108" w:name="_Toc29988"/>
      <w:bookmarkStart w:id="109" w:name="_Toc21360"/>
      <w:bookmarkStart w:id="110" w:name="_Toc4451"/>
      <w:bookmarkStart w:id="111" w:name="_Toc29152"/>
      <w:r>
        <w:rPr>
          <w:rFonts w:hint="eastAsia"/>
        </w:rPr>
        <w:t>6.1</w:t>
      </w:r>
      <w:bookmarkEnd w:id="107"/>
      <w:r>
        <w:rPr>
          <w:rFonts w:hint="eastAsia"/>
        </w:rPr>
        <w:t>总体要求</w:t>
      </w:r>
      <w:bookmarkEnd w:id="108"/>
      <w:bookmarkEnd w:id="109"/>
      <w:bookmarkEnd w:id="110"/>
      <w:bookmarkEnd w:id="111"/>
    </w:p>
    <w:p w14:paraId="7EDF03A5" w14:textId="77777777" w:rsidR="008F6B68" w:rsidRDefault="00000000">
      <w:pPr>
        <w:pStyle w:val="aff9"/>
        <w:rPr>
          <w:szCs w:val="21"/>
        </w:rPr>
      </w:pPr>
      <w:r>
        <w:rPr>
          <w:rFonts w:hint="eastAsia"/>
          <w:szCs w:val="21"/>
        </w:rPr>
        <w:t>核安全工作应坚持安全第一、预防为主、责任明确、严格管理、纵深防御、独立监管、全面保障的原则。</w:t>
      </w:r>
    </w:p>
    <w:p w14:paraId="4C9BCC59" w14:textId="77777777" w:rsidR="008F6B68" w:rsidRDefault="00000000">
      <w:pPr>
        <w:pStyle w:val="aff9"/>
        <w:rPr>
          <w:szCs w:val="21"/>
        </w:rPr>
      </w:pPr>
      <w:r>
        <w:rPr>
          <w:rFonts w:hint="eastAsia"/>
          <w:szCs w:val="21"/>
        </w:rPr>
        <w:t>核设施营运单位应当具备保障核设施安全运行的能力，并符合下列条件：</w:t>
      </w:r>
    </w:p>
    <w:p w14:paraId="0FFB5E02" w14:textId="77777777" w:rsidR="008F6B68" w:rsidRDefault="00000000">
      <w:pPr>
        <w:pStyle w:val="aff9"/>
        <w:numPr>
          <w:ilvl w:val="0"/>
          <w:numId w:val="22"/>
        </w:numPr>
        <w:tabs>
          <w:tab w:val="clear" w:pos="420"/>
          <w:tab w:val="clear" w:pos="4201"/>
        </w:tabs>
        <w:ind w:left="840" w:firstLine="420"/>
        <w:rPr>
          <w:szCs w:val="21"/>
        </w:rPr>
      </w:pPr>
      <w:r>
        <w:rPr>
          <w:rFonts w:hint="eastAsia"/>
          <w:szCs w:val="21"/>
        </w:rPr>
        <w:t>有满足核安全要求的组织管理体系和质量保证、安全管理、岗位责任等制度；</w:t>
      </w:r>
    </w:p>
    <w:p w14:paraId="395226E1" w14:textId="77777777" w:rsidR="008F6B68" w:rsidRDefault="00000000">
      <w:pPr>
        <w:pStyle w:val="aff9"/>
        <w:numPr>
          <w:ilvl w:val="0"/>
          <w:numId w:val="22"/>
        </w:numPr>
        <w:tabs>
          <w:tab w:val="clear" w:pos="420"/>
          <w:tab w:val="clear" w:pos="4201"/>
        </w:tabs>
        <w:ind w:left="840" w:firstLine="420"/>
        <w:rPr>
          <w:szCs w:val="21"/>
        </w:rPr>
      </w:pPr>
      <w:r>
        <w:rPr>
          <w:rFonts w:hint="eastAsia"/>
          <w:szCs w:val="21"/>
        </w:rPr>
        <w:lastRenderedPageBreak/>
        <w:t>有规定数量、合格的专业技术人员和管理人员；</w:t>
      </w:r>
    </w:p>
    <w:p w14:paraId="1FAA4967" w14:textId="77777777" w:rsidR="008F6B68" w:rsidRDefault="00000000">
      <w:pPr>
        <w:pStyle w:val="aff9"/>
        <w:numPr>
          <w:ilvl w:val="0"/>
          <w:numId w:val="22"/>
        </w:numPr>
        <w:tabs>
          <w:tab w:val="clear" w:pos="420"/>
          <w:tab w:val="clear" w:pos="4201"/>
        </w:tabs>
        <w:ind w:left="840" w:firstLine="420"/>
        <w:rPr>
          <w:szCs w:val="21"/>
        </w:rPr>
      </w:pPr>
      <w:r>
        <w:rPr>
          <w:rFonts w:hint="eastAsia"/>
          <w:szCs w:val="21"/>
        </w:rPr>
        <w:t>具备与核设施安全相适应的安全评价、资源配置和财务能力；</w:t>
      </w:r>
    </w:p>
    <w:p w14:paraId="62CEA8B7" w14:textId="77777777" w:rsidR="008F6B68" w:rsidRDefault="00000000">
      <w:pPr>
        <w:pStyle w:val="aff9"/>
        <w:numPr>
          <w:ilvl w:val="0"/>
          <w:numId w:val="22"/>
        </w:numPr>
        <w:tabs>
          <w:tab w:val="clear" w:pos="420"/>
          <w:tab w:val="clear" w:pos="4201"/>
        </w:tabs>
        <w:ind w:left="840" w:firstLine="420"/>
        <w:rPr>
          <w:szCs w:val="21"/>
        </w:rPr>
      </w:pPr>
      <w:r>
        <w:rPr>
          <w:rFonts w:hint="eastAsia"/>
          <w:szCs w:val="21"/>
        </w:rPr>
        <w:t>具备必要的核安全技术支撑和持续改进能力；</w:t>
      </w:r>
    </w:p>
    <w:p w14:paraId="2D2B6C71" w14:textId="77777777" w:rsidR="008F6B68" w:rsidRDefault="00000000">
      <w:pPr>
        <w:pStyle w:val="aff9"/>
        <w:numPr>
          <w:ilvl w:val="0"/>
          <w:numId w:val="22"/>
        </w:numPr>
        <w:tabs>
          <w:tab w:val="clear" w:pos="420"/>
          <w:tab w:val="clear" w:pos="4201"/>
        </w:tabs>
        <w:ind w:left="840" w:firstLine="420"/>
        <w:rPr>
          <w:szCs w:val="21"/>
        </w:rPr>
      </w:pPr>
      <w:r>
        <w:rPr>
          <w:rFonts w:hint="eastAsia"/>
          <w:szCs w:val="21"/>
        </w:rPr>
        <w:t>具备应急响应能力和核损害赔偿财务保障能力；</w:t>
      </w:r>
    </w:p>
    <w:p w14:paraId="75EBFD78" w14:textId="77777777" w:rsidR="008F6B68" w:rsidRDefault="00000000">
      <w:pPr>
        <w:pStyle w:val="aff9"/>
        <w:numPr>
          <w:ilvl w:val="0"/>
          <w:numId w:val="22"/>
        </w:numPr>
        <w:tabs>
          <w:tab w:val="clear" w:pos="420"/>
          <w:tab w:val="clear" w:pos="4201"/>
        </w:tabs>
        <w:ind w:left="840" w:firstLine="420"/>
        <w:rPr>
          <w:szCs w:val="21"/>
        </w:rPr>
      </w:pPr>
      <w:r>
        <w:rPr>
          <w:rFonts w:hint="eastAsia"/>
          <w:szCs w:val="21"/>
        </w:rPr>
        <w:t>法律、行政法规规定的其他条件。</w:t>
      </w:r>
    </w:p>
    <w:p w14:paraId="7967DD4D" w14:textId="77777777" w:rsidR="008F6B68" w:rsidRDefault="00000000">
      <w:pPr>
        <w:pStyle w:val="aff9"/>
        <w:rPr>
          <w:szCs w:val="21"/>
        </w:rPr>
      </w:pPr>
      <w:r>
        <w:rPr>
          <w:rFonts w:hint="eastAsia"/>
          <w:szCs w:val="21"/>
        </w:rPr>
        <w:t>核设施营运单位应当按照应急预案，配备应急设备，开展应急工作人员培训和演练，做好应急准备。</w:t>
      </w:r>
    </w:p>
    <w:p w14:paraId="20A1C4CA" w14:textId="77777777" w:rsidR="008F6B68" w:rsidRDefault="00000000">
      <w:pPr>
        <w:pStyle w:val="aff9"/>
        <w:rPr>
          <w:szCs w:val="21"/>
        </w:rPr>
      </w:pPr>
      <w:r>
        <w:rPr>
          <w:rFonts w:hint="eastAsia"/>
          <w:szCs w:val="21"/>
        </w:rPr>
        <w:t>发生核事故时，核设施营运单位应当按照应急预案的要求开展应急响应，减轻事故后果，并立即向国务院核工业主管部门、核安全监督管理部门和省、自治区、直辖市人民政府指定的部门报告核设施状况，根据需要提出场外应急响应行动建议。</w:t>
      </w:r>
    </w:p>
    <w:p w14:paraId="79074FEC" w14:textId="77777777" w:rsidR="008F6B68" w:rsidRDefault="00000000">
      <w:pPr>
        <w:pStyle w:val="afff5"/>
      </w:pPr>
      <w:bookmarkStart w:id="112" w:name="_Toc142042989"/>
      <w:bookmarkStart w:id="113" w:name="_Toc8530"/>
      <w:bookmarkStart w:id="114" w:name="_Toc19030"/>
      <w:bookmarkStart w:id="115" w:name="_Toc23860"/>
      <w:bookmarkStart w:id="116" w:name="_Toc28463"/>
      <w:r>
        <w:rPr>
          <w:rFonts w:hint="eastAsia"/>
        </w:rPr>
        <w:t>6.2</w:t>
      </w:r>
      <w:bookmarkEnd w:id="112"/>
      <w:r>
        <w:rPr>
          <w:rFonts w:hint="eastAsia"/>
        </w:rPr>
        <w:t>事故停堆要求</w:t>
      </w:r>
      <w:bookmarkEnd w:id="113"/>
      <w:bookmarkEnd w:id="114"/>
      <w:bookmarkEnd w:id="115"/>
      <w:bookmarkEnd w:id="116"/>
    </w:p>
    <w:p w14:paraId="28920912" w14:textId="77777777" w:rsidR="008F6B68" w:rsidRDefault="00000000">
      <w:pPr>
        <w:pStyle w:val="afffff6"/>
        <w:spacing w:before="50" w:after="50"/>
        <w:rPr>
          <w:kern w:val="2"/>
        </w:rPr>
      </w:pPr>
      <w:r>
        <w:rPr>
          <w:rFonts w:hint="eastAsia"/>
          <w:kern w:val="2"/>
        </w:rPr>
        <w:t>6.2.1事故停堆总体要求</w:t>
      </w:r>
    </w:p>
    <w:p w14:paraId="0572C698" w14:textId="77777777" w:rsidR="008F6B68" w:rsidRDefault="00000000">
      <w:pPr>
        <w:pStyle w:val="aff9"/>
        <w:rPr>
          <w:szCs w:val="21"/>
        </w:rPr>
      </w:pPr>
      <w:r>
        <w:rPr>
          <w:rFonts w:hint="eastAsia"/>
          <w:szCs w:val="21"/>
        </w:rPr>
        <w:t>核电厂在运行期间，由于某些运行事件的发生，可能会导致核电厂事故停堆。对此，营运单位必须妥善处理，确保核电厂再启动的安全。</w:t>
      </w:r>
    </w:p>
    <w:p w14:paraId="1F395A89" w14:textId="77777777" w:rsidR="008F6B68" w:rsidRDefault="00000000">
      <w:pPr>
        <w:pStyle w:val="aff9"/>
        <w:rPr>
          <w:szCs w:val="21"/>
        </w:rPr>
      </w:pPr>
      <w:r>
        <w:rPr>
          <w:szCs w:val="21"/>
        </w:rPr>
        <w:t>营运单位必须在查明事故停堆的根本原因并采取相应措施，由厂长或厂长授权批准后方可使核电厂再次启动运行。</w:t>
      </w:r>
    </w:p>
    <w:p w14:paraId="7652FEC7" w14:textId="77777777" w:rsidR="008F6B68" w:rsidRDefault="00000000">
      <w:pPr>
        <w:pStyle w:val="aff9"/>
        <w:rPr>
          <w:szCs w:val="21"/>
        </w:rPr>
      </w:pPr>
      <w:r>
        <w:rPr>
          <w:szCs w:val="21"/>
        </w:rPr>
        <w:t>导致超过安全限值的事故停堆以及国家核安全局认为重要的核电厂事故停堆，需报经国家核安全局审查、批准后方可使核电厂再次启动运行。</w:t>
      </w:r>
    </w:p>
    <w:p w14:paraId="6904FD4B" w14:textId="77777777" w:rsidR="008F6B68" w:rsidRDefault="00000000">
      <w:pPr>
        <w:pStyle w:val="afffff6"/>
        <w:spacing w:before="50" w:after="50"/>
        <w:rPr>
          <w:kern w:val="2"/>
        </w:rPr>
      </w:pPr>
      <w:r>
        <w:rPr>
          <w:rFonts w:hint="eastAsia"/>
          <w:kern w:val="2"/>
        </w:rPr>
        <w:t>6</w:t>
      </w:r>
      <w:r>
        <w:rPr>
          <w:kern w:val="2"/>
        </w:rPr>
        <w:t>.2.2</w:t>
      </w:r>
      <w:r>
        <w:t>事故停堆事件报告</w:t>
      </w:r>
    </w:p>
    <w:p w14:paraId="7F7620C0" w14:textId="77777777" w:rsidR="008F6B68" w:rsidRDefault="00000000">
      <w:pPr>
        <w:pStyle w:val="aff9"/>
        <w:rPr>
          <w:szCs w:val="21"/>
        </w:rPr>
      </w:pPr>
      <w:r>
        <w:rPr>
          <w:szCs w:val="21"/>
        </w:rPr>
        <w:t>营运单位应根据《中华人民共和国民用核设施安全监督管理条例实施细则之二</w:t>
      </w:r>
      <w:r>
        <w:rPr>
          <w:rFonts w:hint="eastAsia"/>
          <w:szCs w:val="21"/>
        </w:rPr>
        <w:t>-</w:t>
      </w:r>
      <w:r>
        <w:rPr>
          <w:szCs w:val="21"/>
        </w:rPr>
        <w:t>核设施的安全监督》附件一所规定的报告准则，在事件发生后24小时内口头通告所在地区监督站，3日内向国家核安全局提交事件书面通告及在事件发生后30日内提交事件报告。</w:t>
      </w:r>
    </w:p>
    <w:p w14:paraId="71D36546" w14:textId="77777777" w:rsidR="008F6B68" w:rsidRDefault="00000000">
      <w:pPr>
        <w:pStyle w:val="aff9"/>
        <w:rPr>
          <w:szCs w:val="21"/>
        </w:rPr>
      </w:pPr>
      <w:r>
        <w:rPr>
          <w:szCs w:val="21"/>
        </w:rPr>
        <w:t>营运单位应全面、完整地保存停堆事故期间的运行日志、仪表记录、厂区内及厂区外监测记录，特别是自动保护系统动作数据，不得随意删除或替换，以备国家核安全局核查。</w:t>
      </w:r>
    </w:p>
    <w:p w14:paraId="55E134A0" w14:textId="77777777" w:rsidR="008F6B68" w:rsidRDefault="00000000">
      <w:pPr>
        <w:pStyle w:val="aff9"/>
        <w:rPr>
          <w:szCs w:val="21"/>
        </w:rPr>
      </w:pPr>
      <w:r>
        <w:rPr>
          <w:szCs w:val="21"/>
        </w:rPr>
        <w:t>国家核安全局认为事件通告或事件报告不足以反映实际情况时，营运单位应按照要求提交事件通告或事件报告的补充通告，必要时还要提交有关的专项技术资料。</w:t>
      </w:r>
    </w:p>
    <w:p w14:paraId="3BACC441" w14:textId="77777777" w:rsidR="008F6B68" w:rsidRDefault="00000000">
      <w:pPr>
        <w:pStyle w:val="afffff6"/>
        <w:spacing w:before="50" w:after="50"/>
        <w:rPr>
          <w:kern w:val="2"/>
        </w:rPr>
      </w:pPr>
      <w:r>
        <w:rPr>
          <w:rFonts w:hint="eastAsia"/>
          <w:kern w:val="2"/>
        </w:rPr>
        <w:t>6.2.3</w:t>
      </w:r>
      <w:r>
        <w:t>事故停堆后的处理</w:t>
      </w:r>
    </w:p>
    <w:p w14:paraId="6DF1BB31" w14:textId="77777777" w:rsidR="008F6B68" w:rsidRDefault="00000000">
      <w:pPr>
        <w:pStyle w:val="aff9"/>
        <w:numPr>
          <w:ilvl w:val="255"/>
          <w:numId w:val="0"/>
        </w:numPr>
        <w:tabs>
          <w:tab w:val="clear" w:pos="4201"/>
          <w:tab w:val="center" w:pos="220"/>
        </w:tabs>
        <w:rPr>
          <w:szCs w:val="21"/>
        </w:rPr>
      </w:pPr>
      <w:r>
        <w:rPr>
          <w:rFonts w:hint="eastAsia"/>
          <w:kern w:val="2"/>
          <w:szCs w:val="21"/>
        </w:rPr>
        <w:t>6.2.3.1</w:t>
      </w:r>
      <w:r>
        <w:rPr>
          <w:szCs w:val="21"/>
        </w:rPr>
        <w:t>行政管理与组织</w:t>
      </w:r>
    </w:p>
    <w:p w14:paraId="6DA72EE0" w14:textId="77777777" w:rsidR="008F6B68" w:rsidRDefault="00000000">
      <w:pPr>
        <w:pStyle w:val="aff9"/>
        <w:rPr>
          <w:szCs w:val="21"/>
        </w:rPr>
      </w:pPr>
      <w:r>
        <w:rPr>
          <w:rFonts w:hint="eastAsia"/>
          <w:szCs w:val="21"/>
        </w:rPr>
        <w:t>营运单位应组织有关专家和专业人员负责核事件的评价与分析。</w:t>
      </w:r>
    </w:p>
    <w:p w14:paraId="41BE2CC1" w14:textId="77777777" w:rsidR="008F6B68" w:rsidRDefault="00000000">
      <w:pPr>
        <w:pStyle w:val="aff9"/>
        <w:rPr>
          <w:szCs w:val="21"/>
        </w:rPr>
      </w:pPr>
      <w:r>
        <w:rPr>
          <w:rFonts w:hint="eastAsia"/>
          <w:szCs w:val="21"/>
        </w:rPr>
        <w:t>营运单位应制订专门的行政管理程序，以便在核电厂事故停堆后、反应堆再启动前有效地确定事故停堆的根本原因并采取必要的纠正措施。</w:t>
      </w:r>
    </w:p>
    <w:p w14:paraId="37C7B8D0" w14:textId="77777777" w:rsidR="008F6B68" w:rsidRDefault="00000000">
      <w:pPr>
        <w:pStyle w:val="aff9"/>
        <w:rPr>
          <w:szCs w:val="21"/>
        </w:rPr>
      </w:pPr>
      <w:r>
        <w:rPr>
          <w:rFonts w:hint="eastAsia"/>
          <w:szCs w:val="21"/>
        </w:rPr>
        <w:t>营运单位应负责核电厂事故停堆处理计划的制订、实施、检查及事故处理期间新发现问题的处理，并负责协调事故处理期间各有关部门的接口关系。</w:t>
      </w:r>
    </w:p>
    <w:p w14:paraId="0409CF18" w14:textId="77777777" w:rsidR="008F6B68" w:rsidRDefault="00000000">
      <w:pPr>
        <w:pStyle w:val="aff9"/>
        <w:rPr>
          <w:szCs w:val="21"/>
        </w:rPr>
      </w:pPr>
      <w:r>
        <w:rPr>
          <w:rFonts w:hint="eastAsia"/>
          <w:szCs w:val="21"/>
        </w:rPr>
        <w:t>营运单位应保证核电厂事故停堆处理计划能按计划和规定的程序实施。</w:t>
      </w:r>
    </w:p>
    <w:p w14:paraId="075A82CB" w14:textId="77777777" w:rsidR="008F6B68" w:rsidRDefault="00000000">
      <w:pPr>
        <w:pStyle w:val="aff9"/>
        <w:rPr>
          <w:szCs w:val="21"/>
        </w:rPr>
      </w:pPr>
      <w:r>
        <w:rPr>
          <w:rFonts w:hint="eastAsia"/>
          <w:szCs w:val="21"/>
        </w:rPr>
        <w:t>营运单位应按质量保证的要求对核电厂事故停堆处理计划的执行情况和有效性进行审查和监查。</w:t>
      </w:r>
    </w:p>
    <w:p w14:paraId="36586CA1" w14:textId="77777777" w:rsidR="008F6B68" w:rsidRDefault="00000000">
      <w:pPr>
        <w:pStyle w:val="aff9"/>
        <w:rPr>
          <w:szCs w:val="21"/>
        </w:rPr>
      </w:pPr>
      <w:r>
        <w:rPr>
          <w:rFonts w:hint="eastAsia"/>
          <w:szCs w:val="21"/>
        </w:rPr>
        <w:t>营运单位应负责组织核电厂应急状况的实施，以便快速、有效地控制事故，并使其后果尽可能减到最小程度。</w:t>
      </w:r>
    </w:p>
    <w:p w14:paraId="794C2FE1" w14:textId="77777777" w:rsidR="008F6B68" w:rsidRDefault="00000000">
      <w:pPr>
        <w:pStyle w:val="aff9"/>
        <w:numPr>
          <w:ilvl w:val="255"/>
          <w:numId w:val="0"/>
        </w:numPr>
        <w:tabs>
          <w:tab w:val="clear" w:pos="4201"/>
          <w:tab w:val="center" w:pos="220"/>
        </w:tabs>
        <w:rPr>
          <w:szCs w:val="21"/>
        </w:rPr>
      </w:pPr>
      <w:r>
        <w:rPr>
          <w:rFonts w:hint="eastAsia"/>
          <w:kern w:val="2"/>
        </w:rPr>
        <w:lastRenderedPageBreak/>
        <w:t>6.2.3.2</w:t>
      </w:r>
      <w:r>
        <w:rPr>
          <w:szCs w:val="21"/>
        </w:rPr>
        <w:t>核电厂事故停堆处理计划</w:t>
      </w:r>
    </w:p>
    <w:p w14:paraId="7AD5D14E" w14:textId="77777777" w:rsidR="008F6B68" w:rsidRDefault="00000000">
      <w:pPr>
        <w:pStyle w:val="aff9"/>
        <w:rPr>
          <w:szCs w:val="21"/>
        </w:rPr>
      </w:pPr>
      <w:r>
        <w:rPr>
          <w:szCs w:val="21"/>
        </w:rPr>
        <w:t>导致超过安全限值的事故停堆以及国家核安全局认为重要的事故停堆，营运单位应针对事故停堆的根本原因及其后果制订相应措施及处理计划并提交国家核安全局。该计划至少包括如下方面</w:t>
      </w:r>
      <w:r>
        <w:rPr>
          <w:rFonts w:hint="eastAsia"/>
          <w:szCs w:val="21"/>
        </w:rPr>
        <w:t>：</w:t>
      </w:r>
    </w:p>
    <w:p w14:paraId="77CBA63A" w14:textId="77777777" w:rsidR="008F6B68" w:rsidRDefault="00000000">
      <w:pPr>
        <w:pStyle w:val="aff9"/>
        <w:numPr>
          <w:ilvl w:val="0"/>
          <w:numId w:val="23"/>
        </w:numPr>
        <w:tabs>
          <w:tab w:val="clear" w:pos="420"/>
          <w:tab w:val="clear" w:pos="4201"/>
        </w:tabs>
        <w:ind w:left="840" w:firstLine="420"/>
        <w:rPr>
          <w:szCs w:val="21"/>
        </w:rPr>
      </w:pPr>
      <w:r>
        <w:rPr>
          <w:szCs w:val="21"/>
        </w:rPr>
        <w:t>工作清单及其时间进度安排。工作清单是指事故处理期间要完成的工作和有关活动。如检修、修改、更换、在役检查和试验等。特别要说明处理工作和有关活动所采用的操作规程或管理规程。列入工作清单中的安全重要构筑物、系统、部件的修改应满足</w:t>
      </w:r>
      <w:r>
        <w:rPr>
          <w:rFonts w:hint="eastAsia"/>
          <w:szCs w:val="21"/>
        </w:rPr>
        <w:t>HAF103-01-1994《核电厂运行安全规定附件一 核电厂换料、修改和事故停堆管理》导则中关于</w:t>
      </w:r>
      <w:r>
        <w:rPr>
          <w:szCs w:val="21"/>
        </w:rPr>
        <w:t>修改条款的有关要求</w:t>
      </w:r>
      <w:r>
        <w:rPr>
          <w:rFonts w:hint="eastAsia"/>
          <w:szCs w:val="21"/>
        </w:rPr>
        <w:t>；</w:t>
      </w:r>
    </w:p>
    <w:p w14:paraId="5AB4F9E0" w14:textId="77777777" w:rsidR="008F6B68" w:rsidRDefault="00000000">
      <w:pPr>
        <w:pStyle w:val="aff9"/>
        <w:numPr>
          <w:ilvl w:val="0"/>
          <w:numId w:val="23"/>
        </w:numPr>
        <w:tabs>
          <w:tab w:val="clear" w:pos="420"/>
          <w:tab w:val="clear" w:pos="4201"/>
        </w:tabs>
        <w:ind w:left="840" w:firstLine="420"/>
        <w:rPr>
          <w:szCs w:val="21"/>
        </w:rPr>
      </w:pPr>
      <w:r>
        <w:rPr>
          <w:szCs w:val="21"/>
        </w:rPr>
        <w:t>辐射防护。应全面、细致地考虑停堆事故中造成的、或在事故处理过程中会遇到的辐射防护问题。如对工作人员的进出及其照射剂量的监测、污染扩散、放射性物项的搬移、放射性废物的累积及处置等都要采取必要的措施</w:t>
      </w:r>
      <w:r>
        <w:rPr>
          <w:rFonts w:hint="eastAsia"/>
          <w:szCs w:val="21"/>
        </w:rPr>
        <w:t>；</w:t>
      </w:r>
    </w:p>
    <w:p w14:paraId="6BE2FB7C" w14:textId="77777777" w:rsidR="008F6B68" w:rsidRDefault="00000000">
      <w:pPr>
        <w:pStyle w:val="aff9"/>
        <w:numPr>
          <w:ilvl w:val="0"/>
          <w:numId w:val="23"/>
        </w:numPr>
        <w:tabs>
          <w:tab w:val="clear" w:pos="420"/>
          <w:tab w:val="clear" w:pos="4201"/>
        </w:tabs>
        <w:ind w:left="840" w:firstLine="420"/>
        <w:rPr>
          <w:szCs w:val="21"/>
        </w:rPr>
      </w:pPr>
      <w:r>
        <w:rPr>
          <w:szCs w:val="21"/>
        </w:rPr>
        <w:t>说明参与事故停堆处理计划的工作人员及资格要求。当聘请核电厂外人员参与事故处理工作时，必须确认其工作人员具备从事该项工作的资格要求。</w:t>
      </w:r>
    </w:p>
    <w:p w14:paraId="7DD6C093" w14:textId="77777777" w:rsidR="008F6B68" w:rsidRDefault="00000000">
      <w:pPr>
        <w:pStyle w:val="aff9"/>
        <w:rPr>
          <w:szCs w:val="21"/>
        </w:rPr>
      </w:pPr>
      <w:r>
        <w:rPr>
          <w:szCs w:val="21"/>
        </w:rPr>
        <w:t>应对事故停堆处理计划进行严格审查，确保其实施不会危及安全或增加辐射后果。</w:t>
      </w:r>
    </w:p>
    <w:p w14:paraId="32A6C369" w14:textId="77777777" w:rsidR="008F6B68" w:rsidRDefault="00000000">
      <w:pPr>
        <w:pStyle w:val="aff9"/>
        <w:rPr>
          <w:szCs w:val="21"/>
        </w:rPr>
      </w:pPr>
      <w:r>
        <w:rPr>
          <w:szCs w:val="21"/>
        </w:rPr>
        <w:t>营运单位在实施事故停堆处理计划时，国家核安全局可根据情况在该计划中选定控制点和见证试验项目。</w:t>
      </w:r>
    </w:p>
    <w:p w14:paraId="42A35E4C" w14:textId="77777777" w:rsidR="008F6B68" w:rsidRDefault="00000000">
      <w:pPr>
        <w:pStyle w:val="aff9"/>
        <w:rPr>
          <w:szCs w:val="21"/>
        </w:rPr>
      </w:pPr>
      <w:r>
        <w:rPr>
          <w:szCs w:val="21"/>
        </w:rPr>
        <w:t>营运单位需要修改或补充事故停堆处理计划时，应向国家核安全局提交该计划的修改或补充报告。</w:t>
      </w:r>
    </w:p>
    <w:p w14:paraId="10656A92" w14:textId="77777777" w:rsidR="008F6B68" w:rsidRDefault="00000000">
      <w:pPr>
        <w:pStyle w:val="aff9"/>
        <w:numPr>
          <w:ilvl w:val="255"/>
          <w:numId w:val="0"/>
        </w:numPr>
        <w:tabs>
          <w:tab w:val="clear" w:pos="4201"/>
          <w:tab w:val="center" w:pos="220"/>
        </w:tabs>
        <w:rPr>
          <w:szCs w:val="21"/>
        </w:rPr>
      </w:pPr>
      <w:r>
        <w:rPr>
          <w:rFonts w:hint="eastAsia"/>
          <w:kern w:val="2"/>
        </w:rPr>
        <w:t>6.2.3.3</w:t>
      </w:r>
      <w:r>
        <w:rPr>
          <w:szCs w:val="21"/>
        </w:rPr>
        <w:t>试验</w:t>
      </w:r>
    </w:p>
    <w:p w14:paraId="1DB6182A" w14:textId="77777777" w:rsidR="008F6B68" w:rsidRDefault="00000000">
      <w:pPr>
        <w:pStyle w:val="aff9"/>
        <w:rPr>
          <w:szCs w:val="21"/>
        </w:rPr>
      </w:pPr>
      <w:r>
        <w:rPr>
          <w:rFonts w:hint="eastAsia"/>
          <w:szCs w:val="21"/>
        </w:rPr>
        <w:t>营运单位根据事故停堆处理计划中确定的试验项目在反应堆再启动前必须全面完成预定的试验内容，以验证安全重要物项，特别受停堆事故影响的安全重要构筑物、系统和部件满足原设计要求和有关准则并消除停堆事故对其功能造成的潜在影响。对于安全重要物项的修改试验要满足HAF103-01-1994导则中关于修改条款的有关要求。</w:t>
      </w:r>
    </w:p>
    <w:p w14:paraId="6DC9D4C7" w14:textId="77777777" w:rsidR="008F6B68" w:rsidRDefault="00000000">
      <w:pPr>
        <w:pStyle w:val="aff9"/>
        <w:rPr>
          <w:szCs w:val="21"/>
        </w:rPr>
      </w:pPr>
      <w:r>
        <w:rPr>
          <w:rFonts w:hint="eastAsia"/>
          <w:szCs w:val="21"/>
        </w:rPr>
        <w:t>事故停堆处理计划中由国家核安全局选定的见证试验项目的试验时间如有变更，营运单位必须在见证试验项目开始试验前2日通知国家核安全局。</w:t>
      </w:r>
    </w:p>
    <w:p w14:paraId="72F4C81B" w14:textId="77777777" w:rsidR="008F6B68" w:rsidRDefault="00000000">
      <w:pPr>
        <w:pStyle w:val="aff9"/>
        <w:rPr>
          <w:szCs w:val="21"/>
        </w:rPr>
      </w:pPr>
      <w:r>
        <w:rPr>
          <w:rFonts w:hint="eastAsia"/>
          <w:szCs w:val="21"/>
        </w:rPr>
        <w:t>营运单位必须根据质量保证的要求，对试验的先决条件、执行的试验程序及试验结果的完整性和正确性进行严格审查和评价，以保证所完成的试验能充分证明其构筑物、系统和部件满足原设计要求。</w:t>
      </w:r>
    </w:p>
    <w:p w14:paraId="33ADB0B7" w14:textId="77777777" w:rsidR="008F6B68" w:rsidRDefault="00000000">
      <w:pPr>
        <w:pStyle w:val="aff9"/>
        <w:rPr>
          <w:szCs w:val="21"/>
        </w:rPr>
      </w:pPr>
      <w:r>
        <w:rPr>
          <w:rFonts w:hint="eastAsia"/>
          <w:szCs w:val="21"/>
        </w:rPr>
        <w:t>试验项目结束后，营运单位及时写出试验报告。</w:t>
      </w:r>
    </w:p>
    <w:p w14:paraId="29612E87" w14:textId="77777777" w:rsidR="008F6B68" w:rsidRDefault="00000000">
      <w:pPr>
        <w:pStyle w:val="afff5"/>
      </w:pPr>
      <w:bookmarkStart w:id="117" w:name="_Toc13736"/>
      <w:bookmarkStart w:id="118" w:name="_Toc31205"/>
      <w:bookmarkStart w:id="119" w:name="_Toc12621"/>
      <w:bookmarkStart w:id="120" w:name="_Toc26336"/>
      <w:r>
        <w:rPr>
          <w:rFonts w:hint="eastAsia"/>
        </w:rPr>
        <w:t>6.3</w:t>
      </w:r>
      <w:r>
        <w:t>核电厂再启动</w:t>
      </w:r>
      <w:bookmarkEnd w:id="117"/>
      <w:bookmarkEnd w:id="118"/>
      <w:bookmarkEnd w:id="119"/>
      <w:bookmarkEnd w:id="120"/>
    </w:p>
    <w:p w14:paraId="1042C6EA" w14:textId="77777777" w:rsidR="008F6B68" w:rsidRDefault="00000000">
      <w:pPr>
        <w:pStyle w:val="afffff6"/>
        <w:spacing w:before="50" w:after="50"/>
        <w:rPr>
          <w:kern w:val="2"/>
        </w:rPr>
      </w:pPr>
      <w:r>
        <w:rPr>
          <w:rFonts w:hint="eastAsia"/>
          <w:kern w:val="2"/>
        </w:rPr>
        <w:t>6.3.1</w:t>
      </w:r>
      <w:r>
        <w:rPr>
          <w:kern w:val="2"/>
        </w:rPr>
        <w:t>启动申请</w:t>
      </w:r>
    </w:p>
    <w:p w14:paraId="6CD5B8A0" w14:textId="77777777" w:rsidR="008F6B68" w:rsidRDefault="00000000">
      <w:pPr>
        <w:pStyle w:val="aff9"/>
        <w:rPr>
          <w:szCs w:val="21"/>
        </w:rPr>
      </w:pPr>
      <w:r>
        <w:rPr>
          <w:rFonts w:hint="eastAsia"/>
          <w:szCs w:val="21"/>
        </w:rPr>
        <w:t>对运行期间发生的非计划停堆，营运单位应当查明停堆的原因并采取相应的措施，按相关管理程序批准后方可再启动运行。</w:t>
      </w:r>
    </w:p>
    <w:p w14:paraId="5E18C61D" w14:textId="77777777" w:rsidR="008F6B68" w:rsidRDefault="00000000">
      <w:pPr>
        <w:pStyle w:val="aff9"/>
        <w:rPr>
          <w:szCs w:val="21"/>
        </w:rPr>
      </w:pPr>
      <w:r>
        <w:rPr>
          <w:rFonts w:hint="eastAsia"/>
          <w:szCs w:val="21"/>
        </w:rPr>
        <w:t>对于导致超过安全限值的停堆以及国家核安全局认为重要并提出管理要求的停堆，营运单位应当按照许可证的要求报经国家核安全局审查，并提交运行事件报告、处理计划和启动申请，经批准后方可再次启动运行。处理计划应当包括工作清单及其时间进度安排、辐射防护、参与停堆处理计划的组织和人员；如有调整，营运单位应当向国家核安全局提交调整后的处理计划或补充报告。营运单位应当在完成处理计划中所列全部工作并确认核动力厂能安全运行后提交启动申请；启动申请应当包括核动力厂停堆处理计划完成情况、停堆处理期间发现的问题及其解决措施、安全重要试验项目的结果及评价、反应堆启动的工作安排及时间进度。</w:t>
      </w:r>
    </w:p>
    <w:p w14:paraId="77752744" w14:textId="77777777" w:rsidR="008F6B68" w:rsidRDefault="00000000">
      <w:pPr>
        <w:pStyle w:val="afffff6"/>
        <w:spacing w:before="50" w:after="50"/>
        <w:rPr>
          <w:kern w:val="2"/>
        </w:rPr>
      </w:pPr>
      <w:r>
        <w:rPr>
          <w:rFonts w:hint="eastAsia"/>
          <w:kern w:val="2"/>
        </w:rPr>
        <w:t>6.3.2</w:t>
      </w:r>
      <w:r>
        <w:rPr>
          <w:kern w:val="2"/>
        </w:rPr>
        <w:t>启动审查</w:t>
      </w:r>
    </w:p>
    <w:p w14:paraId="647048A6" w14:textId="77777777" w:rsidR="008F6B68" w:rsidRDefault="00000000">
      <w:pPr>
        <w:pStyle w:val="aff9"/>
        <w:rPr>
          <w:szCs w:val="21"/>
        </w:rPr>
      </w:pPr>
      <w:r>
        <w:rPr>
          <w:rFonts w:hint="eastAsia"/>
          <w:szCs w:val="21"/>
        </w:rPr>
        <w:lastRenderedPageBreak/>
        <w:t>国家核安全局审查营运单位提交的启动申请时，如认为启动申请不足以反映核电厂的安全状态时，营运单位应根据国家核安全局的要求提交启动申请的补充报告及专项技术资料。</w:t>
      </w:r>
    </w:p>
    <w:p w14:paraId="429FE657" w14:textId="77777777" w:rsidR="008F6B68" w:rsidRDefault="00000000">
      <w:pPr>
        <w:pStyle w:val="aff9"/>
        <w:rPr>
          <w:szCs w:val="21"/>
        </w:rPr>
      </w:pPr>
      <w:r>
        <w:rPr>
          <w:rFonts w:hint="eastAsia"/>
          <w:szCs w:val="21"/>
        </w:rPr>
        <w:t>国家核安全局可要求营运单位对受到停堆事故影响的某个或某些安全重要构筑物、系统、部件进行功能性试验，以验证其可运行性。</w:t>
      </w:r>
    </w:p>
    <w:p w14:paraId="0B546FE0" w14:textId="77777777" w:rsidR="008F6B68" w:rsidRDefault="00000000">
      <w:pPr>
        <w:pStyle w:val="aff9"/>
        <w:rPr>
          <w:szCs w:val="21"/>
        </w:rPr>
      </w:pPr>
      <w:r>
        <w:rPr>
          <w:rFonts w:hint="eastAsia"/>
          <w:szCs w:val="21"/>
        </w:rPr>
        <w:t>国家核安全局在审查营运单位启动申请的同时，可根据情况组织核安全专家及现场核安全监督员对核电厂再启动前的安全状态及准备工作进行检查。</w:t>
      </w:r>
    </w:p>
    <w:p w14:paraId="415496CD" w14:textId="77777777" w:rsidR="008F6B68" w:rsidRDefault="00000000">
      <w:pPr>
        <w:pStyle w:val="aff9"/>
        <w:rPr>
          <w:szCs w:val="21"/>
        </w:rPr>
      </w:pPr>
      <w:r>
        <w:rPr>
          <w:rFonts w:hint="eastAsia"/>
          <w:szCs w:val="21"/>
        </w:rPr>
        <w:t>国家核安全局审查启动申请，经确认核电厂具备再启动条件，并批准启动申请后，营运单位方可使核电厂启动、运行。</w:t>
      </w:r>
    </w:p>
    <w:p w14:paraId="652A19AD" w14:textId="77777777" w:rsidR="008F6B68" w:rsidRDefault="00000000">
      <w:pPr>
        <w:pStyle w:val="a4"/>
        <w:rPr>
          <w:color w:val="000000"/>
          <w:szCs w:val="21"/>
        </w:rPr>
      </w:pPr>
      <w:bookmarkStart w:id="121" w:name="_Toc13145"/>
      <w:bookmarkStart w:id="122" w:name="_Toc25556"/>
      <w:bookmarkStart w:id="123" w:name="_Toc25844"/>
      <w:bookmarkStart w:id="124" w:name="_Toc28341"/>
      <w:r>
        <w:rPr>
          <w:rFonts w:hint="eastAsia"/>
          <w:color w:val="000000"/>
          <w:szCs w:val="21"/>
        </w:rPr>
        <w:t>大修停堆安全管理</w:t>
      </w:r>
      <w:bookmarkEnd w:id="121"/>
      <w:bookmarkEnd w:id="122"/>
      <w:bookmarkEnd w:id="123"/>
      <w:bookmarkEnd w:id="124"/>
    </w:p>
    <w:p w14:paraId="1B27EE92" w14:textId="77777777" w:rsidR="008F6B68" w:rsidRDefault="00000000">
      <w:pPr>
        <w:pStyle w:val="afff5"/>
      </w:pPr>
      <w:bookmarkStart w:id="125" w:name="_Toc30405"/>
      <w:bookmarkStart w:id="126" w:name="_Toc11609"/>
      <w:bookmarkStart w:id="127" w:name="_Toc142042991"/>
      <w:bookmarkStart w:id="128" w:name="_Toc4432"/>
      <w:bookmarkStart w:id="129" w:name="_Toc26777"/>
      <w:r>
        <w:rPr>
          <w:rFonts w:hint="eastAsia"/>
        </w:rPr>
        <w:t>7.1停堆安全管理原则</w:t>
      </w:r>
      <w:bookmarkEnd w:id="125"/>
      <w:bookmarkEnd w:id="126"/>
    </w:p>
    <w:p w14:paraId="65F82004" w14:textId="77777777" w:rsidR="008F6B68" w:rsidRDefault="00000000">
      <w:pPr>
        <w:pStyle w:val="aff9"/>
        <w:rPr>
          <w:szCs w:val="21"/>
        </w:rPr>
      </w:pPr>
      <w:r>
        <w:rPr>
          <w:rFonts w:hint="eastAsia"/>
          <w:szCs w:val="21"/>
        </w:rPr>
        <w:t>停堆安全风险级别分为绿色、黄色、橙色和红色四种状态，并应分别制定相应的控制措施：</w:t>
      </w:r>
    </w:p>
    <w:p w14:paraId="7AF13681" w14:textId="77777777" w:rsidR="008F6B68" w:rsidRDefault="00000000">
      <w:pPr>
        <w:pStyle w:val="aff9"/>
        <w:numPr>
          <w:ilvl w:val="0"/>
          <w:numId w:val="24"/>
        </w:numPr>
        <w:tabs>
          <w:tab w:val="clear" w:pos="420"/>
          <w:tab w:val="clear" w:pos="4201"/>
        </w:tabs>
        <w:ind w:left="840" w:firstLine="420"/>
        <w:rPr>
          <w:szCs w:val="21"/>
          <w:lang w:bidi="ar"/>
        </w:rPr>
      </w:pPr>
      <w:r>
        <w:rPr>
          <w:szCs w:val="21"/>
          <w:lang w:bidi="ar"/>
        </w:rPr>
        <w:t>绿色（最低风险）：代表非常高或者最高纵深防御的水平。风险是可接受的，不需要采取额外的措施来管理风险；</w:t>
      </w:r>
    </w:p>
    <w:p w14:paraId="12C4F923" w14:textId="77777777" w:rsidR="008F6B68" w:rsidRDefault="00000000">
      <w:pPr>
        <w:pStyle w:val="aff9"/>
        <w:numPr>
          <w:ilvl w:val="0"/>
          <w:numId w:val="24"/>
        </w:numPr>
        <w:tabs>
          <w:tab w:val="clear" w:pos="420"/>
          <w:tab w:val="clear" w:pos="4201"/>
        </w:tabs>
        <w:ind w:left="840" w:firstLine="420"/>
        <w:rPr>
          <w:szCs w:val="21"/>
          <w:lang w:bidi="ar"/>
        </w:rPr>
      </w:pPr>
      <w:r>
        <w:rPr>
          <w:szCs w:val="21"/>
          <w:lang w:bidi="ar"/>
        </w:rPr>
        <w:t>黄色（低风险）：代表充足的纵深防御水平。风险是升高的，但仍在相对低的水平，可采取措施减少持续时间和执行补偿措施来减少风险；</w:t>
      </w:r>
    </w:p>
    <w:p w14:paraId="29967A60" w14:textId="77777777" w:rsidR="008F6B68" w:rsidRDefault="00000000">
      <w:pPr>
        <w:pStyle w:val="aff9"/>
        <w:numPr>
          <w:ilvl w:val="0"/>
          <w:numId w:val="24"/>
        </w:numPr>
        <w:tabs>
          <w:tab w:val="clear" w:pos="420"/>
          <w:tab w:val="clear" w:pos="4201"/>
        </w:tabs>
        <w:ind w:left="840" w:firstLine="420"/>
        <w:rPr>
          <w:szCs w:val="21"/>
          <w:lang w:bidi="ar"/>
        </w:rPr>
      </w:pPr>
      <w:r>
        <w:rPr>
          <w:szCs w:val="21"/>
          <w:lang w:bidi="ar"/>
        </w:rPr>
        <w:t>橙色（中风险）：代表最低的纵深防御水平。通常代表单一故障会导致关键安全功能失去，风险是升高的。计划性进入该工况必须经过公司授权人批准，且需要准备详细的应急预案。如果意外进入该工况，需采取措施尽快使机组恢复至绿色或黄色状态；</w:t>
      </w:r>
    </w:p>
    <w:p w14:paraId="0CE1735E" w14:textId="77777777" w:rsidR="008F6B68" w:rsidRDefault="00000000">
      <w:pPr>
        <w:pStyle w:val="aff9"/>
        <w:numPr>
          <w:ilvl w:val="0"/>
          <w:numId w:val="24"/>
        </w:numPr>
        <w:tabs>
          <w:tab w:val="clear" w:pos="420"/>
          <w:tab w:val="clear" w:pos="4201"/>
        </w:tabs>
        <w:ind w:left="840" w:firstLine="420"/>
        <w:rPr>
          <w:szCs w:val="21"/>
          <w:lang w:bidi="ar"/>
        </w:rPr>
      </w:pPr>
      <w:r>
        <w:rPr>
          <w:szCs w:val="21"/>
          <w:lang w:bidi="ar"/>
        </w:rPr>
        <w:t>红色（高风险）：代表不可接受的纵深防御水平，风险是不可接受的，原则上不允许计划性进入红色状态，如果意外进入该工况，需立即采取措施使机组恢复至绿色或黄色状态。</w:t>
      </w:r>
    </w:p>
    <w:p w14:paraId="4013A35B" w14:textId="77777777" w:rsidR="008F6B68" w:rsidRDefault="00000000">
      <w:pPr>
        <w:pStyle w:val="aff9"/>
        <w:rPr>
          <w:szCs w:val="21"/>
        </w:rPr>
      </w:pPr>
      <w:r>
        <w:rPr>
          <w:rFonts w:hint="eastAsia"/>
          <w:szCs w:val="21"/>
        </w:rPr>
        <w:t>对影响停堆安全功能的关键系统和设备配置状态和可用性要求，应保持在尽量高于技术规格书要求的最低水平，保证有足够的系统和设备可用，并与电厂计划相吻合，以减少发生单一故障导致非预期高风险出现的几率。应对可能影响这些系统可用性的异常进行评估，确保不产生对核安全具有不可接受风险的工况。当安全裕度受到挑战时，需要评估并执行相应的干预预案和规程。</w:t>
      </w:r>
    </w:p>
    <w:p w14:paraId="4C6EBB77" w14:textId="77777777" w:rsidR="008F6B68" w:rsidRDefault="00000000">
      <w:pPr>
        <w:pStyle w:val="aff9"/>
        <w:rPr>
          <w:szCs w:val="21"/>
        </w:rPr>
      </w:pPr>
      <w:r>
        <w:rPr>
          <w:rFonts w:hint="eastAsia"/>
          <w:szCs w:val="21"/>
        </w:rPr>
        <w:t>在大修计划阶段，通过大修计划，应尽可能地维持关键安全功能和机组总体状态在绿色或者黄色。停堆运行期间，需对三日滚动计划工作进行安全评估，并结合定量风险评估结果调整、优化执行计划，将风险评价结果纳入三日滚动计划发布。如有计划外的对停堆风险计算有贡献的系统和设备状态改变时，应重新计算，确保停堆风险可接受。</w:t>
      </w:r>
    </w:p>
    <w:p w14:paraId="4F1AA32A" w14:textId="77777777" w:rsidR="008F6B68" w:rsidRDefault="00000000">
      <w:pPr>
        <w:pStyle w:val="aff9"/>
        <w:rPr>
          <w:szCs w:val="21"/>
        </w:rPr>
      </w:pPr>
      <w:r>
        <w:rPr>
          <w:rFonts w:hint="eastAsia"/>
          <w:szCs w:val="21"/>
        </w:rPr>
        <w:t>应通过高效准备、计划与执行，尽量缩短机组处于高风险工况、低水位运行及低水装量状态的持续时间。在进入低水位运行前，应验证低水位运行所需系统和设备的可用性，并制定干预预案。</w:t>
      </w:r>
    </w:p>
    <w:p w14:paraId="4BF2616B" w14:textId="77777777" w:rsidR="008F6B68" w:rsidRDefault="00000000">
      <w:pPr>
        <w:pStyle w:val="aff9"/>
        <w:rPr>
          <w:szCs w:val="21"/>
        </w:rPr>
      </w:pPr>
      <w:r>
        <w:rPr>
          <w:rFonts w:hint="eastAsia"/>
          <w:szCs w:val="21"/>
        </w:rPr>
        <w:t>应尽量不在保护设备上安排维修活动，如果确需在保护设备上进行维修活动，则必须得到当班值长的批准并采取相应的管理性措施或应急预案。</w:t>
      </w:r>
    </w:p>
    <w:p w14:paraId="2C901393" w14:textId="77777777" w:rsidR="008F6B68" w:rsidRDefault="00000000">
      <w:pPr>
        <w:pStyle w:val="afff5"/>
      </w:pPr>
      <w:bookmarkStart w:id="130" w:name="_Toc16319"/>
      <w:bookmarkStart w:id="131" w:name="_Toc16082"/>
      <w:r>
        <w:rPr>
          <w:rFonts w:hint="eastAsia"/>
        </w:rPr>
        <w:t>7.2</w:t>
      </w:r>
      <w:bookmarkEnd w:id="127"/>
      <w:r>
        <w:rPr>
          <w:rFonts w:hint="eastAsia"/>
        </w:rPr>
        <w:t>堆芯余热排出</w:t>
      </w:r>
      <w:bookmarkEnd w:id="128"/>
      <w:bookmarkEnd w:id="129"/>
      <w:bookmarkEnd w:id="130"/>
      <w:bookmarkEnd w:id="131"/>
    </w:p>
    <w:p w14:paraId="2E4BAFBE" w14:textId="77777777" w:rsidR="008F6B68" w:rsidRDefault="00000000">
      <w:pPr>
        <w:pStyle w:val="aff9"/>
        <w:rPr>
          <w:szCs w:val="21"/>
        </w:rPr>
      </w:pPr>
      <w:r>
        <w:rPr>
          <w:rFonts w:hint="eastAsia"/>
          <w:szCs w:val="21"/>
        </w:rPr>
        <w:t>堆芯余热排出功能作为重要的安全功能，是通过余热排出相关系统、备用系统和其他余热排出方式来实现的。停堆条件下要求排出堆芯余热，以确保核燃料充分冷却。维持堆芯余热排出是关键性安全功</w:t>
      </w:r>
      <w:r>
        <w:rPr>
          <w:rFonts w:hint="eastAsia"/>
          <w:szCs w:val="21"/>
        </w:rPr>
        <w:lastRenderedPageBreak/>
        <w:t>能，长时间不能排出堆芯余热将造成燃料损坏，因此，提供纵深防御对确保维持核燃料充分冷却非常重要。</w:t>
      </w:r>
    </w:p>
    <w:p w14:paraId="28A1CE7D" w14:textId="77777777" w:rsidR="008F6B68" w:rsidRDefault="00000000">
      <w:pPr>
        <w:pStyle w:val="aff9"/>
        <w:rPr>
          <w:szCs w:val="21"/>
        </w:rPr>
      </w:pPr>
      <w:r>
        <w:rPr>
          <w:rFonts w:hint="eastAsia"/>
          <w:szCs w:val="21"/>
        </w:rPr>
        <w:t>堆芯余热排出功能丧失，可能导致反应堆冷却剂达到饱和状态而沸腾，反应堆冷却剂装量丧失可能造成燃料裸露，甚至导致裂变产物意外释放，即使短时间的堆芯余热排出丧失都是不可接受的。影响堆芯余热排出的主要因素包括：余热释放量、反应堆水装量、电厂系统设备构造、机组所处状态等。</w:t>
      </w:r>
    </w:p>
    <w:p w14:paraId="627B494E" w14:textId="77777777" w:rsidR="008F6B68" w:rsidRDefault="00000000">
      <w:pPr>
        <w:pStyle w:val="aff9"/>
        <w:rPr>
          <w:szCs w:val="21"/>
        </w:rPr>
      </w:pPr>
      <w:r>
        <w:rPr>
          <w:rFonts w:hint="eastAsia"/>
          <w:szCs w:val="21"/>
        </w:rPr>
        <w:t>运行部门应对作为停堆安全重要系统的余热排出系统进行持续保护，禁止在直接支持余热排出的系统或设备上进行作业；在作业前，特别是在降低水装量条件下或其他影响余热导出高风险的工作过程中，计划人员组织相关专业对余热排出系统或直接支持余热排出系统的作业活动进行评估；在高衰变热或低水装量期间，如需预先安排可能对余热排出产生不利影响的作业，则应制定适当的干预预案；燃料装卸载期间，运行部门应有适当的程序应对正常余热排出能力损失并且进行模拟演练，同时确保燃料处理厂房通风和乏燃料水池冷却支持系统的可用性，并制定预案以应对乏燃料水池冷却失去；燃料卸至乏燃料水池后，在没有冷却的情况下衰变热可能在72小时内将乏燃料水池的温度上升至100℃，因此需对乏燃料水池进行持续冷却并对冷却系统进行保护，以防止大修作业对其造成不利影响。</w:t>
      </w:r>
    </w:p>
    <w:p w14:paraId="2EB82282" w14:textId="77777777" w:rsidR="008F6B68" w:rsidRDefault="00000000">
      <w:pPr>
        <w:pStyle w:val="aff9"/>
        <w:rPr>
          <w:szCs w:val="21"/>
        </w:rPr>
      </w:pPr>
      <w:r>
        <w:rPr>
          <w:rFonts w:hint="eastAsia"/>
          <w:szCs w:val="21"/>
        </w:rPr>
        <w:t>AP1000系列在停堆堆芯余热排除风险审查时应从以下因素进行考虑：一是否有与大修计划相应的纵深防御衰变热排出策略，是否有适当的程序或应急预案以应对正常衰变热排出能力丧失的异常工况；二是衰变热排出系统运行期间，禁止在直接支持衰变热排出功能的设备上进行影响其功能的作业。低衰变热、高冷却剂装量或卸料工况下应优先安排影响衰变热排出系统正常运行的作业；三是高衰变热或低冷却剂装量期间，如预先安排可能对衰变热排出产生不利影响的作业，应制定适当的应急预案，并对作业活动工期进行仔细评估；四是燃料卸载期间、卸载后及装载期间，需保证燃料操作区域通风和乏燃料水池冷却系统的可用性，并制定程序或应急预案以应对乏燃料水池冷却损失的异常工况。</w:t>
      </w:r>
    </w:p>
    <w:p w14:paraId="6910A1A7" w14:textId="77777777" w:rsidR="008F6B68" w:rsidRDefault="00000000">
      <w:pPr>
        <w:pStyle w:val="aff9"/>
        <w:rPr>
          <w:szCs w:val="21"/>
        </w:rPr>
      </w:pPr>
      <w:r>
        <w:rPr>
          <w:rFonts w:hint="eastAsia"/>
          <w:szCs w:val="21"/>
        </w:rPr>
        <w:t>EPR系列机组在机组下行前需预先启动辅助蒸汽系统，为二回路低状态时供应辅助蒸汽，确保二回路正常排出堆芯余热，防止二回路不可用通过VDA系统排出堆芯余热。事故工况为确保堆芯余热排出，根据机组运行状态采用汽机旁路系统GCT冷却、大气排放系统VDA冷却、RIS-RHR系统进行冷却、一回路充排模式进行冷却。</w:t>
      </w:r>
    </w:p>
    <w:p w14:paraId="3E1667FF" w14:textId="77777777" w:rsidR="008F6B68" w:rsidRDefault="00000000">
      <w:pPr>
        <w:pStyle w:val="afff5"/>
      </w:pPr>
      <w:bookmarkStart w:id="132" w:name="_Toc8892"/>
      <w:bookmarkStart w:id="133" w:name="_Toc14973"/>
      <w:r>
        <w:rPr>
          <w:rFonts w:hint="eastAsia"/>
        </w:rPr>
        <w:t>7.3水装量控制</w:t>
      </w:r>
      <w:bookmarkEnd w:id="132"/>
      <w:bookmarkEnd w:id="133"/>
    </w:p>
    <w:p w14:paraId="7CA083CA" w14:textId="77777777" w:rsidR="008F6B68" w:rsidRDefault="00000000">
      <w:pPr>
        <w:pStyle w:val="aff9"/>
        <w:rPr>
          <w:szCs w:val="21"/>
        </w:rPr>
      </w:pPr>
      <w:r>
        <w:rPr>
          <w:rFonts w:hint="eastAsia"/>
          <w:szCs w:val="21"/>
        </w:rPr>
        <w:t>维持反应堆冷却剂系统的水装量控制，确保核燃料时刻淹浸在冷却剂中。反应堆水装量不足会增加余热排出泵吸入口产生涡流的风险，同时会缩短堆芯沸腾时间，进一步加剧余热排出系统丧失的影响。计划不充分、设备问题或其他意外情形，都有可能增加反应堆冷却剂装量不足的时间，从而增大损坏核燃料的风险。</w:t>
      </w:r>
    </w:p>
    <w:p w14:paraId="34ECDAA3" w14:textId="77777777" w:rsidR="008F6B68" w:rsidRDefault="00000000">
      <w:pPr>
        <w:pStyle w:val="aff9"/>
        <w:rPr>
          <w:szCs w:val="21"/>
        </w:rPr>
      </w:pPr>
      <w:r>
        <w:rPr>
          <w:rFonts w:hint="eastAsia"/>
          <w:szCs w:val="21"/>
        </w:rPr>
        <w:t>反应堆冷却剂系统水装量控制对于维持余热排出功能极为重要。严格控制反应堆水装量，确认一回路冷却剂的补充手段可用，确保在需要时随时能保障一回路水装量。当机组控制需要将一回路水装量过渡到较低水平时，需重点关注：大修计划需重点识别并避免电厂配置中单一故障或人为失误可能引起反应堆冷却剂系统水装量快速降低的情况，不允许在余热排出系统、对水装量产生影响的系统、缓解系统和支持系统上进行工作或试验，确保余热排出系统和补水系统具有足够的冗余度；将配电系统上的高风险活动和主要工作延迟至水装量充足的窗口进行；尽量缩短低水装量窗口的维持时间，在进入低水位运行之前，应确认恢复水装量所需要的设备的可用性，应通过高效的准备、计划和快速执行，制定反应堆冷却剂系统水装量降低的应对程序或预案，尽量缩短一回路低水位运行的时间；在低水装量工况期间，不允许在余热排出系统、影响水装量的系统、缓解系统及支持系统上进行工作或试验，配电系统上的高风险活动和主要工作应延迟至非低水装量状态进行；在低水装量工况期间，明确主系统和备用及支持系统所需满足的要求，在低水装量状态下，确保有多个余热导出系统和补水系统可用，并提供足够的厂内和厂外备用电源；采用多种可靠的方法持续监测反应堆冷却剂系统水位；提前制定在停堆状态下反应堆冷却剂系统水装量降低的应对程序或预案。</w:t>
      </w:r>
    </w:p>
    <w:p w14:paraId="7D8C7B99" w14:textId="77777777" w:rsidR="008F6B68" w:rsidRDefault="00000000">
      <w:pPr>
        <w:pStyle w:val="aff9"/>
        <w:rPr>
          <w:szCs w:val="21"/>
        </w:rPr>
      </w:pPr>
      <w:r>
        <w:rPr>
          <w:rFonts w:hint="eastAsia"/>
          <w:szCs w:val="21"/>
        </w:rPr>
        <w:lastRenderedPageBreak/>
        <w:t>AP1000系列在水装量控制风险审查时，重点考虑以下因素：一是大修计划应在一定程度上识别并避免单个设备故障或人为失误引起RCS系统装量损失，保持装量控制纵深防御功能，并对可能造成RCS装量损失或补水功能不可用的活动进行充分的风险评估；二是应采取措施缩减机组低水位运行时间。在带料半管运行工况下，原则上不安排在安全相关系统和纵深防御设备上开展工作，辐射控制区内的工作必须重新取得当班值长批准；三是在低装量运行期间，应有冗余的衰变热排出和补水路径可用，并保证厂内、厂外电源可用性；四是应采用多种可靠方法监测RCS水位，当燃料转运通道打开时，应对换料水池和乏燃料水池水位进行密切监控。</w:t>
      </w:r>
    </w:p>
    <w:p w14:paraId="116E9B5D" w14:textId="77777777" w:rsidR="008F6B68" w:rsidRDefault="00000000">
      <w:pPr>
        <w:pStyle w:val="aff9"/>
        <w:rPr>
          <w:szCs w:val="21"/>
        </w:rPr>
      </w:pPr>
      <w:r>
        <w:rPr>
          <w:rFonts w:hint="eastAsia"/>
          <w:szCs w:val="21"/>
        </w:rPr>
        <w:t>EPR系列机组上/下行期间为保证一回路水装量，需确保四列RRI/SEC/RIS可用，并在机组下行前制备足够的硼酸和除盐水，以保证足够的一回路用水。大修期间成立专门的防跑水小组，减小一回路低状态水装量泄漏的风险。事故工况下可以通过启动RCV双上充或则切换至IRWST取水来维持一回路水装量，并可通过IRWST回收反应堆厂房内泄漏的水，并通过RIS/RCV再次注入一回路来维持一回路的水装量。为保证一回路水装量，机组解列前9天需提前将IRWST液位充水至3.72m以上，并将仪表扼架池充水至19m，解列前7天，将TEP1/2/3号水罐制满除盐水保证一回路用水需求。解列前2天，制备足够硼酸，保证两硼酸罐液位高度高于5m（＞120m³），以满足一回路硼化需求。</w:t>
      </w:r>
    </w:p>
    <w:p w14:paraId="5B4AFF26" w14:textId="77777777" w:rsidR="008F6B68" w:rsidRDefault="00000000">
      <w:pPr>
        <w:pStyle w:val="afff5"/>
      </w:pPr>
      <w:bookmarkStart w:id="134" w:name="_Toc17152"/>
      <w:bookmarkStart w:id="135" w:name="_Toc5731"/>
      <w:bookmarkStart w:id="136" w:name="_Toc9426"/>
      <w:bookmarkStart w:id="137" w:name="_Toc18111"/>
      <w:r>
        <w:rPr>
          <w:rFonts w:hint="eastAsia"/>
        </w:rPr>
        <w:t>7.4电源可用性</w:t>
      </w:r>
      <w:bookmarkEnd w:id="134"/>
      <w:bookmarkEnd w:id="135"/>
      <w:bookmarkEnd w:id="136"/>
      <w:bookmarkEnd w:id="137"/>
    </w:p>
    <w:p w14:paraId="672B2FC4" w14:textId="77777777" w:rsidR="008F6B68" w:rsidRDefault="00000000">
      <w:pPr>
        <w:pStyle w:val="aff9"/>
        <w:rPr>
          <w:szCs w:val="21"/>
        </w:rPr>
      </w:pPr>
      <w:r>
        <w:rPr>
          <w:rFonts w:hint="eastAsia"/>
          <w:szCs w:val="21"/>
        </w:rPr>
        <w:t>电源是安全系统实现其安全功能的必要保证，电源可用性是停堆安全最基本的安全功能之一。重要电源需要满足纵深防御要求，从而防止单一故障导致失电。电源的工作计划在实施前要经过严格的审查，保证纵深防御屏障有效。当机组处于余热水平高而水装量低或者反应堆冷却剂系统水装量低的状态时，需重点加强开关站和应急柴油发电机相关的工作管控，主动将主要电气设备的工作计划推迟到电厂高风险窗口之后。</w:t>
      </w:r>
    </w:p>
    <w:p w14:paraId="7ED45FAB" w14:textId="77777777" w:rsidR="008F6B68" w:rsidRDefault="00000000">
      <w:pPr>
        <w:pStyle w:val="aff9"/>
        <w:rPr>
          <w:szCs w:val="21"/>
        </w:rPr>
      </w:pPr>
      <w:r>
        <w:rPr>
          <w:rFonts w:hint="eastAsia"/>
          <w:szCs w:val="21"/>
        </w:rPr>
        <w:t>对于重要的安全功能，需要重点保护好向其供电的正常电源及备用电源，保证足够的供电冗余度，从而降低重要安全功能系统的失电风险。停堆期间，需对电源相关设备实施免扰保护，在对关键安全功能和纵深防御所需的系统设备实施保护时，也应考虑其支持仪表和控制电源。在满足运行技术规格书要求的基础上，厂内外电源检修计划需结合机组实际风险合理安排和调整电源检修计划，应考虑电源的纵深防御策略，以应对突发电源故障时能确保关键安全功能设备的供电。电源检修前，应根据天气预报确定检修计划，若预期电源检修期间将发生恶劣天气，应推迟检修计划，以免恶劣天气时执行检修导致电源可靠性下降。若坚持检修计划，则审慎评价，并根据关键安全功能评价的最高风险状态进行决策或采取相应措施。若恶劣天气到来前已经开展电源检修，则应增加人力投入抢修，并加强可用列电源的巡视和消缺，确保其可用性。</w:t>
      </w:r>
    </w:p>
    <w:p w14:paraId="346731C9" w14:textId="77777777" w:rsidR="008F6B68" w:rsidRDefault="00000000">
      <w:pPr>
        <w:pStyle w:val="aff9"/>
        <w:rPr>
          <w:szCs w:val="21"/>
        </w:rPr>
      </w:pPr>
      <w:r>
        <w:rPr>
          <w:rFonts w:hint="eastAsia"/>
          <w:szCs w:val="21"/>
        </w:rPr>
        <w:t>AP1000系列在电源可用性风险审查时应从以下因素进行考虑：a）应对在线路、开关站和变压器附近进行的活动采取预防措施，保证电源的可用性，临近变压器和开关站区域不可用做存储或搁置区；b）应合理安排在纵深防御设备的电源上进行维修和试验，以保证设备能够及时恢复运行，维持纵深防御功能。</w:t>
      </w:r>
    </w:p>
    <w:p w14:paraId="75EDBFDC" w14:textId="77777777" w:rsidR="008F6B68" w:rsidRDefault="00000000">
      <w:pPr>
        <w:pStyle w:val="aff9"/>
        <w:rPr>
          <w:szCs w:val="21"/>
        </w:rPr>
      </w:pPr>
      <w:r>
        <w:rPr>
          <w:rFonts w:hint="eastAsia"/>
          <w:szCs w:val="21"/>
        </w:rPr>
        <w:t>EPR系列机组，设置有四列10kV应急柴油机和两列SBO柴油机，并安装有四列2小时蓄电池和两列12小时蓄电池作为后备应急电源，并且当一列电源不可用时或则进行停运维修时可实现手动或一键自动进行交叉供电，为重要负荷供电，确保机组能安全停堆和应对事故工况。并在解列前30天提前将公共机组电气盘切至非大修机组。</w:t>
      </w:r>
    </w:p>
    <w:p w14:paraId="3CE664F1" w14:textId="77777777" w:rsidR="008F6B68" w:rsidRDefault="00000000">
      <w:pPr>
        <w:pStyle w:val="afff5"/>
      </w:pPr>
      <w:bookmarkStart w:id="138" w:name="_Toc3939"/>
      <w:bookmarkStart w:id="139" w:name="_Toc14462"/>
      <w:bookmarkStart w:id="140" w:name="_Toc8104"/>
      <w:bookmarkStart w:id="141" w:name="_Toc26092"/>
      <w:r>
        <w:rPr>
          <w:rFonts w:hint="eastAsia"/>
        </w:rPr>
        <w:t>7.5反应性控制</w:t>
      </w:r>
      <w:bookmarkEnd w:id="138"/>
      <w:bookmarkEnd w:id="139"/>
      <w:bookmarkEnd w:id="140"/>
      <w:bookmarkEnd w:id="141"/>
    </w:p>
    <w:p w14:paraId="6DBB3B81" w14:textId="77777777" w:rsidR="008F6B68" w:rsidRDefault="00000000">
      <w:pPr>
        <w:pStyle w:val="aff9"/>
        <w:rPr>
          <w:szCs w:val="21"/>
          <w:lang w:val="en-GB"/>
        </w:rPr>
      </w:pPr>
      <w:r>
        <w:rPr>
          <w:rFonts w:hint="eastAsia"/>
          <w:szCs w:val="21"/>
          <w:lang w:val="en-GB"/>
        </w:rPr>
        <w:t>停堆期间，反应性控制不当可能导致机组意外重返临界，特别是在叠加反应堆自动停堆功能执行机构无法自动动作时后果将更加严重。</w:t>
      </w:r>
      <w:r>
        <w:rPr>
          <w:rFonts w:hint="eastAsia"/>
          <w:szCs w:val="21"/>
        </w:rPr>
        <w:t>而且，在事故工况下，可能</w:t>
      </w:r>
      <w:r>
        <w:rPr>
          <w:rFonts w:hint="eastAsia"/>
          <w:szCs w:val="21"/>
          <w:lang w:val="en-GB"/>
        </w:rPr>
        <w:t>导致多道安全屏障降级</w:t>
      </w:r>
      <w:r>
        <w:rPr>
          <w:rFonts w:hint="eastAsia"/>
          <w:szCs w:val="21"/>
        </w:rPr>
        <w:t>而使得</w:t>
      </w:r>
      <w:r>
        <w:rPr>
          <w:rFonts w:hint="eastAsia"/>
          <w:szCs w:val="21"/>
          <w:lang w:val="en-GB"/>
        </w:rPr>
        <w:t>安全裕度降低，因此，即使反应堆停堆，</w:t>
      </w:r>
      <w:r>
        <w:rPr>
          <w:rFonts w:hint="eastAsia"/>
          <w:szCs w:val="21"/>
        </w:rPr>
        <w:t>反应性控制</w:t>
      </w:r>
      <w:r>
        <w:rPr>
          <w:rFonts w:hint="eastAsia"/>
          <w:szCs w:val="21"/>
          <w:lang w:val="en-GB"/>
        </w:rPr>
        <w:t>仍然是首要的。</w:t>
      </w:r>
    </w:p>
    <w:p w14:paraId="42E6A86B" w14:textId="77777777" w:rsidR="008F6B68" w:rsidRDefault="00000000">
      <w:pPr>
        <w:pStyle w:val="aff9"/>
        <w:rPr>
          <w:szCs w:val="21"/>
        </w:rPr>
      </w:pPr>
      <w:r>
        <w:rPr>
          <w:rFonts w:hint="eastAsia"/>
          <w:szCs w:val="21"/>
        </w:rPr>
        <w:lastRenderedPageBreak/>
        <w:t>为了确保反应堆冷却剂系统保持足够的停堆裕度，需保持足够的反应性控制敏感度，持续对控制棒、一回路硼浓度和一回路冷却剂温度进行监控。在停堆工况下，当燃料位于堆芯内时，需加强源量程探测器测量监视，识别并管控事故停堆的潜在硼稀释路径，保持补硼途径可用，同时建立备用或临时加硼途径，以应对意外硼稀释，确保有足够手段应对意外硼稀释风险。反应性控制，即建立手段防止反应堆冷却剂系统硼酸误稀释、意外临界、功率偏移或失去停堆裕量，并预测和监视堆芯活动。应严格控制向换料水池、余热排出系统和蒸汽发生器的一次侧等系统设备添加非硼化水。</w:t>
      </w:r>
    </w:p>
    <w:p w14:paraId="25D7E1B8" w14:textId="77777777" w:rsidR="008F6B68" w:rsidRDefault="00000000">
      <w:pPr>
        <w:pStyle w:val="afff5"/>
      </w:pPr>
      <w:bookmarkStart w:id="142" w:name="_Toc25174"/>
      <w:bookmarkStart w:id="143" w:name="_Toc531"/>
      <w:bookmarkStart w:id="144" w:name="_Toc8758"/>
      <w:bookmarkStart w:id="145" w:name="_Toc27014"/>
      <w:r>
        <w:rPr>
          <w:rFonts w:hint="eastAsia"/>
        </w:rPr>
        <w:t>7.6安全壳密封性</w:t>
      </w:r>
      <w:bookmarkEnd w:id="142"/>
      <w:bookmarkEnd w:id="143"/>
      <w:bookmarkEnd w:id="144"/>
      <w:bookmarkEnd w:id="145"/>
    </w:p>
    <w:p w14:paraId="65FB294E" w14:textId="77777777" w:rsidR="008F6B68" w:rsidRDefault="00000000">
      <w:pPr>
        <w:pStyle w:val="aff9"/>
        <w:rPr>
          <w:szCs w:val="21"/>
        </w:rPr>
      </w:pPr>
      <w:r>
        <w:rPr>
          <w:rFonts w:hint="eastAsia"/>
          <w:szCs w:val="21"/>
        </w:rPr>
        <w:t>安全壳作为第三道放射性屏障，包容核蒸汽供应系统的主要物项。在正常运行时及在发生放射性裂变产物释放到安全壳内的事故后，安全壳构筑物和附属物（贯穿件、气闸门和设备舱门等）提供良好的密封作用和放射性屏蔽作用，减少事故后安全壳内的放射性裂变产物对环境的释放。安全壳贯穿件在保持安全壳可用性的同时，作为运行、检修及取样和仪表管线进入安全壳内的通道。</w:t>
      </w:r>
    </w:p>
    <w:p w14:paraId="6F6C90E4" w14:textId="77777777" w:rsidR="008F6B68" w:rsidRDefault="00000000">
      <w:pPr>
        <w:pStyle w:val="aff9"/>
        <w:rPr>
          <w:szCs w:val="21"/>
          <w:lang w:val="en-GB"/>
        </w:rPr>
      </w:pPr>
      <w:r>
        <w:rPr>
          <w:rFonts w:hint="eastAsia"/>
          <w:szCs w:val="21"/>
        </w:rPr>
        <w:t>机组停堆</w:t>
      </w:r>
      <w:r>
        <w:rPr>
          <w:rFonts w:hint="eastAsia"/>
          <w:szCs w:val="21"/>
          <w:lang w:val="en-GB"/>
        </w:rPr>
        <w:t>期间，</w:t>
      </w:r>
      <w:r>
        <w:rPr>
          <w:rFonts w:hint="eastAsia"/>
          <w:szCs w:val="21"/>
        </w:rPr>
        <w:t>技术规格书规定的某些模式或状态仍要求安全壳密封性可用，确保安全壳内放射性裂变产物向环境释放控制在要求的限值以内，因此，必须确保能够及时关闭安全壳。当用于关闭贯穿件的电源或其他支持系统不可用时，应采取适当的措施提醒相关人员在突发事件期间及时撤离安全壳，并针对性制定关闭安全壳贯穿件的应急预案</w:t>
      </w:r>
      <w:r>
        <w:rPr>
          <w:rFonts w:hint="eastAsia"/>
          <w:szCs w:val="21"/>
          <w:lang w:val="en-GB"/>
        </w:rPr>
        <w:t>。</w:t>
      </w:r>
      <w:r>
        <w:rPr>
          <w:rFonts w:hint="eastAsia"/>
          <w:szCs w:val="21"/>
        </w:rPr>
        <w:t>需对安全壳贯穿件的状态进行跟踪和控制，确保可以在堆芯沸腾前可靠关闭。</w:t>
      </w:r>
    </w:p>
    <w:p w14:paraId="32FF68D3" w14:textId="77777777" w:rsidR="008F6B68" w:rsidRDefault="00000000">
      <w:pPr>
        <w:pStyle w:val="aff9"/>
        <w:rPr>
          <w:szCs w:val="21"/>
        </w:rPr>
      </w:pPr>
      <w:r>
        <w:rPr>
          <w:rFonts w:hint="eastAsia"/>
          <w:szCs w:val="21"/>
          <w:lang w:val="en-GB"/>
        </w:rPr>
        <w:t>对于</w:t>
      </w:r>
      <w:r>
        <w:rPr>
          <w:rFonts w:hint="eastAsia"/>
          <w:szCs w:val="21"/>
        </w:rPr>
        <w:t>AP1000系列安全壳关闭功能要求停堆期间必须保证能够在堆芯沸腾前关闭安全壳，用以限制可能的无监控放射性物质释放。应对安全壳贯穿件的状态应进行跟踪和控制，当用于关闭贯穿件的电源或其他支持系统不可用时，应针对安全壳贯穿件关闭建立应急预案，以在突发事件期间能及时关闭安全壳贯穿件，保持安全壳的完整性。</w:t>
      </w:r>
    </w:p>
    <w:p w14:paraId="0B653302" w14:textId="77777777" w:rsidR="008F6B68" w:rsidRDefault="00000000">
      <w:pPr>
        <w:pStyle w:val="aff9"/>
        <w:rPr>
          <w:szCs w:val="21"/>
        </w:rPr>
      </w:pPr>
      <w:r>
        <w:rPr>
          <w:rFonts w:hint="eastAsia"/>
          <w:szCs w:val="21"/>
        </w:rPr>
        <w:t>对于EPR系列机组的安全壳采用了双层安全壳概念，并且在安全壳里面设计了金属密封衬里。通过内外安全壳壳壁（也分别称为内外安全壳）及内外壳之间的负压环形空间，用于收集来自内安全壳的泄漏，并对泄漏气体进行过滤，然后经通风烟囱排放到环境中；安全壳压力和温度控制系统，用于将安全壳压力和温度控制在规定范围内，满足安全壳密封性和结构完整性要求。在停堆期间的一些标准运行状态下，允许打开HRA厂房，如果在此时发生堆芯熔化事故，在安全壳内大量释放放射性物质之前，HRA厂房必须能够在可接受的可靠性范围内关闭。HAR打开期间的密封由设备舱口前面的HRA和HK厂房排风、人员气闸门的前面的HRA和HL厂房排风，维持动态包容。</w:t>
      </w:r>
    </w:p>
    <w:p w14:paraId="44628AB9" w14:textId="77777777" w:rsidR="008F6B68" w:rsidRDefault="00000000">
      <w:pPr>
        <w:pStyle w:val="a4"/>
        <w:rPr>
          <w:color w:val="000000"/>
          <w:szCs w:val="21"/>
        </w:rPr>
      </w:pPr>
      <w:bookmarkStart w:id="146" w:name="_Toc24742"/>
      <w:bookmarkStart w:id="147" w:name="_Toc25550"/>
      <w:r>
        <w:rPr>
          <w:rFonts w:hint="eastAsia"/>
          <w:color w:val="000000"/>
          <w:szCs w:val="21"/>
        </w:rPr>
        <w:t>紧急停堆安全管理</w:t>
      </w:r>
      <w:bookmarkEnd w:id="146"/>
      <w:bookmarkEnd w:id="147"/>
    </w:p>
    <w:p w14:paraId="1370C17D" w14:textId="77777777" w:rsidR="008F6B68" w:rsidRDefault="00000000">
      <w:pPr>
        <w:pStyle w:val="afff5"/>
      </w:pPr>
      <w:bookmarkStart w:id="148" w:name="_Toc11325"/>
      <w:bookmarkStart w:id="149" w:name="_Toc12151"/>
      <w:bookmarkStart w:id="150" w:name="_Toc24621"/>
      <w:bookmarkStart w:id="151" w:name="_Toc28517"/>
      <w:r>
        <w:rPr>
          <w:rFonts w:hint="eastAsia"/>
        </w:rPr>
        <w:t>8.1非计划停堆预防</w:t>
      </w:r>
      <w:bookmarkEnd w:id="148"/>
      <w:bookmarkEnd w:id="149"/>
    </w:p>
    <w:p w14:paraId="67BB8990" w14:textId="77777777" w:rsidR="008F6B68" w:rsidRDefault="00000000">
      <w:pPr>
        <w:pStyle w:val="aff9"/>
        <w:rPr>
          <w:szCs w:val="21"/>
        </w:rPr>
      </w:pPr>
      <w:r>
        <w:rPr>
          <w:rFonts w:hint="eastAsia"/>
          <w:szCs w:val="21"/>
        </w:rPr>
        <w:t>为保障机组安全稳定运行，应加强机组风险管控，预防非计划停堆。开展非计划停堆的缺陷和隐患排查治理，建立设备巡检管理制度和重大设备监测制度，完善隐患排查的常态化机制和专项机制。做好机组高风险作业的风险分级管控，并按照缺陷和隐患的轻重缓急做好分级分类管理并明确消缺要求。强化机组高风险工作管理，加强对纠正性高风险工作风险评估，确保工作开展前制定有效可落地的兜底预案。加强非计划停堆相关工作风险前端管控，确保全面分析、充分准备。定期收集内外部非计划停堆的重要经验反馈，全面开展对比分析、制定改进行动。强化机组寿期末、延伸运行风险管控，加强机组缺陷状态评估，加强纠正性维修的风险识别和管控，停止非必要的高风险活动，加强高风险活动的提级管理。开展人员行为规范和知识能力观察探测，识别优势项与薄弱项，针对个人行为规范和知识能力薄弱项，制定针对性补强措施。围绕人因失误高风险活动、易产生人因失误的作业区域、人员以及防人因技防改进等方面，提升防人因失误管理水平。</w:t>
      </w:r>
    </w:p>
    <w:p w14:paraId="20993926" w14:textId="77777777" w:rsidR="008F6B68" w:rsidRDefault="00000000">
      <w:pPr>
        <w:pStyle w:val="afff5"/>
      </w:pPr>
      <w:bookmarkStart w:id="152" w:name="_Toc28116"/>
      <w:bookmarkStart w:id="153" w:name="_Toc12364"/>
      <w:r>
        <w:rPr>
          <w:rFonts w:hint="eastAsia"/>
        </w:rPr>
        <w:lastRenderedPageBreak/>
        <w:t>8.2事故程序</w:t>
      </w:r>
      <w:bookmarkEnd w:id="150"/>
      <w:bookmarkEnd w:id="151"/>
      <w:bookmarkEnd w:id="152"/>
      <w:bookmarkEnd w:id="153"/>
    </w:p>
    <w:p w14:paraId="3132267F" w14:textId="77777777" w:rsidR="008F6B68" w:rsidRDefault="00000000">
      <w:pPr>
        <w:pStyle w:val="aff9"/>
        <w:rPr>
          <w:szCs w:val="21"/>
        </w:rPr>
      </w:pPr>
      <w:r>
        <w:rPr>
          <w:rFonts w:hint="eastAsia"/>
          <w:szCs w:val="21"/>
        </w:rPr>
        <w:t>当事故发生时，通过事故程序控制机组状态。事故规程有两大明确的目标：一是保护堆芯在安全壳中的安全，二是避免微小事件向严重事故的演变。</w:t>
      </w:r>
    </w:p>
    <w:p w14:paraId="6BFB98BF" w14:textId="77777777" w:rsidR="008F6B68" w:rsidRDefault="00000000">
      <w:pPr>
        <w:pStyle w:val="aff9"/>
        <w:rPr>
          <w:szCs w:val="21"/>
        </w:rPr>
      </w:pPr>
      <w:r>
        <w:rPr>
          <w:rFonts w:hint="eastAsia"/>
          <w:szCs w:val="21"/>
        </w:rPr>
        <w:t>为保证事故规程两大目标的实现，在执行事故程序过程中须遵守八大原则：忠实原则、高效原则、偏差处理、控制节奏、全局观、退出事故规程、正确干预、冗余原则。</w:t>
      </w:r>
    </w:p>
    <w:p w14:paraId="2E1FC396" w14:textId="77777777" w:rsidR="008F6B68" w:rsidRDefault="00000000">
      <w:pPr>
        <w:pStyle w:val="aff9"/>
        <w:rPr>
          <w:szCs w:val="21"/>
        </w:rPr>
      </w:pPr>
      <w:r>
        <w:rPr>
          <w:rFonts w:hint="eastAsia"/>
          <w:szCs w:val="21"/>
        </w:rPr>
        <w:t>忠实原则与高效原则是执行事故程序最重要的原则。忠实原则是指，执行事故程序的策略和目标必须得到遵守，如果运行团队发现正在执行的程序控制策略不能适合于当前的机组状态，运行团队应立即向电厂应急管理者提出更换程序或策略的申请并且在得到批准后更换程序。高效原则是指，运行团队需要调整或者增加一些行动以高效的实现程序的控制策略。尽管事故程序已考虑到一些执行的原则，由于不可能穷尽所有可能遇到的情况，在实际应用过程中可能出现没有考虑到的情况，此时需要运行团队和个人通过技能判断，并且依靠工作流程弥补程序和原则的不足。若机组安全无法保证，则忠实、有效地执行规程并进行偏差处理应优先于其他原则，此时首要目标是确保堆芯安全。</w:t>
      </w:r>
    </w:p>
    <w:p w14:paraId="139F100F" w14:textId="77777777" w:rsidR="008F6B68" w:rsidRDefault="00000000">
      <w:pPr>
        <w:pStyle w:val="afff5"/>
      </w:pPr>
      <w:bookmarkStart w:id="154" w:name="_Toc20168"/>
      <w:bookmarkStart w:id="155" w:name="_Toc5825"/>
      <w:bookmarkStart w:id="156" w:name="_Toc1694"/>
      <w:bookmarkStart w:id="157" w:name="_Toc17021"/>
      <w:r>
        <w:rPr>
          <w:rFonts w:hint="eastAsia"/>
        </w:rPr>
        <w:t>8.3六大状态功能参数</w:t>
      </w:r>
      <w:bookmarkEnd w:id="154"/>
      <w:bookmarkEnd w:id="155"/>
      <w:bookmarkEnd w:id="156"/>
      <w:bookmarkEnd w:id="157"/>
    </w:p>
    <w:p w14:paraId="5837DCA0" w14:textId="77777777" w:rsidR="008F6B68" w:rsidRDefault="00000000">
      <w:pPr>
        <w:pStyle w:val="aff9"/>
        <w:rPr>
          <w:szCs w:val="21"/>
        </w:rPr>
      </w:pPr>
      <w:r>
        <w:rPr>
          <w:rFonts w:hint="eastAsia"/>
          <w:szCs w:val="21"/>
        </w:rPr>
        <w:t>事故规程中选用了6个基本的功能状态参数来分别表征一回路、二回路及安全壳的状态，代表了机组在某个时刻所处的总体状态。通过判断6个功能状态及其相对应的参数，确定机组所处的状态，并决定采用相应的事故规程来控制机组。功能状态参数表详见表3。</w:t>
      </w:r>
    </w:p>
    <w:p w14:paraId="7217C368" w14:textId="77777777" w:rsidR="008F6B68" w:rsidRDefault="00000000">
      <w:pPr>
        <w:pStyle w:val="aff9"/>
        <w:ind w:firstLineChars="0" w:firstLine="0"/>
        <w:jc w:val="center"/>
        <w:rPr>
          <w:szCs w:val="21"/>
        </w:rPr>
      </w:pPr>
      <w:r>
        <w:rPr>
          <w:rFonts w:hint="eastAsia"/>
          <w:szCs w:val="21"/>
        </w:rPr>
        <w:t>表3 六大功能状态参数</w:t>
      </w:r>
    </w:p>
    <w:tbl>
      <w:tblPr>
        <w:tblStyle w:val="affd"/>
        <w:tblW w:w="0" w:type="auto"/>
        <w:tblInd w:w="1015" w:type="dxa"/>
        <w:tblLook w:val="04A0" w:firstRow="1" w:lastRow="0" w:firstColumn="1" w:lastColumn="0" w:noHBand="0" w:noVBand="1"/>
      </w:tblPr>
      <w:tblGrid>
        <w:gridCol w:w="1097"/>
        <w:gridCol w:w="1875"/>
        <w:gridCol w:w="1810"/>
        <w:gridCol w:w="1715"/>
        <w:gridCol w:w="1238"/>
      </w:tblGrid>
      <w:tr w:rsidR="008F6B68" w14:paraId="492B1579" w14:textId="77777777">
        <w:tc>
          <w:tcPr>
            <w:tcW w:w="1097" w:type="dxa"/>
            <w:vAlign w:val="center"/>
          </w:tcPr>
          <w:p w14:paraId="14B07275" w14:textId="77777777" w:rsidR="008F6B68" w:rsidRDefault="00000000">
            <w:pPr>
              <w:pStyle w:val="aff9"/>
              <w:ind w:firstLineChars="0" w:firstLine="0"/>
              <w:jc w:val="center"/>
              <w:rPr>
                <w:szCs w:val="21"/>
              </w:rPr>
            </w:pPr>
            <w:r>
              <w:rPr>
                <w:rFonts w:hint="eastAsia"/>
                <w:szCs w:val="21"/>
              </w:rPr>
              <w:t>回路</w:t>
            </w:r>
          </w:p>
        </w:tc>
        <w:tc>
          <w:tcPr>
            <w:tcW w:w="1875" w:type="dxa"/>
            <w:vAlign w:val="center"/>
          </w:tcPr>
          <w:p w14:paraId="5023A7C7" w14:textId="77777777" w:rsidR="008F6B68" w:rsidRDefault="00000000">
            <w:pPr>
              <w:pStyle w:val="aff9"/>
              <w:ind w:firstLineChars="0" w:firstLine="0"/>
              <w:jc w:val="center"/>
              <w:rPr>
                <w:szCs w:val="21"/>
              </w:rPr>
            </w:pPr>
            <w:r>
              <w:rPr>
                <w:rFonts w:hint="eastAsia"/>
                <w:szCs w:val="21"/>
              </w:rPr>
              <w:t>功能状态</w:t>
            </w:r>
          </w:p>
        </w:tc>
        <w:tc>
          <w:tcPr>
            <w:tcW w:w="1810" w:type="dxa"/>
            <w:vAlign w:val="center"/>
          </w:tcPr>
          <w:p w14:paraId="02E85CC1" w14:textId="77777777" w:rsidR="008F6B68" w:rsidRDefault="00000000">
            <w:pPr>
              <w:pStyle w:val="aff9"/>
              <w:ind w:firstLineChars="0" w:firstLine="0"/>
              <w:jc w:val="center"/>
              <w:rPr>
                <w:szCs w:val="21"/>
              </w:rPr>
            </w:pPr>
            <w:r>
              <w:rPr>
                <w:rFonts w:hint="eastAsia"/>
                <w:szCs w:val="21"/>
              </w:rPr>
              <w:t>作用</w:t>
            </w:r>
          </w:p>
        </w:tc>
        <w:tc>
          <w:tcPr>
            <w:tcW w:w="1715" w:type="dxa"/>
            <w:vAlign w:val="center"/>
          </w:tcPr>
          <w:p w14:paraId="273B1B53" w14:textId="77777777" w:rsidR="008F6B68" w:rsidRDefault="00000000">
            <w:pPr>
              <w:pStyle w:val="aff9"/>
              <w:ind w:firstLineChars="0" w:firstLine="0"/>
              <w:jc w:val="center"/>
              <w:rPr>
                <w:szCs w:val="21"/>
              </w:rPr>
            </w:pPr>
            <w:r>
              <w:rPr>
                <w:rFonts w:hint="eastAsia"/>
                <w:szCs w:val="21"/>
              </w:rPr>
              <w:t>代表参数</w:t>
            </w:r>
          </w:p>
        </w:tc>
        <w:tc>
          <w:tcPr>
            <w:tcW w:w="1238" w:type="dxa"/>
            <w:vAlign w:val="center"/>
          </w:tcPr>
          <w:p w14:paraId="21941660" w14:textId="77777777" w:rsidR="008F6B68" w:rsidRDefault="00000000">
            <w:pPr>
              <w:pStyle w:val="aff9"/>
              <w:ind w:firstLineChars="0" w:firstLine="0"/>
              <w:jc w:val="center"/>
              <w:rPr>
                <w:szCs w:val="21"/>
              </w:rPr>
            </w:pPr>
            <w:r>
              <w:rPr>
                <w:rFonts w:hint="eastAsia"/>
                <w:szCs w:val="21"/>
              </w:rPr>
              <w:t>安全功能</w:t>
            </w:r>
          </w:p>
        </w:tc>
      </w:tr>
      <w:tr w:rsidR="008F6B68" w14:paraId="25F810D7" w14:textId="77777777">
        <w:tc>
          <w:tcPr>
            <w:tcW w:w="1097" w:type="dxa"/>
            <w:vMerge w:val="restart"/>
            <w:vAlign w:val="center"/>
          </w:tcPr>
          <w:p w14:paraId="14E3B06E" w14:textId="77777777" w:rsidR="008F6B68" w:rsidRDefault="00000000">
            <w:pPr>
              <w:pStyle w:val="aff9"/>
              <w:ind w:firstLineChars="0" w:firstLine="0"/>
              <w:jc w:val="center"/>
              <w:rPr>
                <w:szCs w:val="21"/>
              </w:rPr>
            </w:pPr>
            <w:r>
              <w:rPr>
                <w:rFonts w:hint="eastAsia"/>
                <w:szCs w:val="21"/>
              </w:rPr>
              <w:t>一回路</w:t>
            </w:r>
          </w:p>
          <w:p w14:paraId="7DF42DE5" w14:textId="77777777" w:rsidR="008F6B68" w:rsidRDefault="00000000">
            <w:pPr>
              <w:pStyle w:val="aff9"/>
              <w:ind w:firstLineChars="0" w:firstLine="0"/>
              <w:jc w:val="center"/>
              <w:rPr>
                <w:szCs w:val="21"/>
              </w:rPr>
            </w:pPr>
            <w:r>
              <w:rPr>
                <w:rFonts w:hint="eastAsia"/>
                <w:szCs w:val="21"/>
              </w:rPr>
              <w:t>状态参数</w:t>
            </w:r>
          </w:p>
        </w:tc>
        <w:tc>
          <w:tcPr>
            <w:tcW w:w="1875" w:type="dxa"/>
            <w:vAlign w:val="center"/>
          </w:tcPr>
          <w:p w14:paraId="1B91A467" w14:textId="77777777" w:rsidR="008F6B68" w:rsidRDefault="00000000">
            <w:pPr>
              <w:pStyle w:val="aff9"/>
              <w:ind w:firstLineChars="0" w:firstLine="0"/>
              <w:jc w:val="center"/>
              <w:rPr>
                <w:szCs w:val="21"/>
              </w:rPr>
            </w:pPr>
            <w:r>
              <w:rPr>
                <w:rFonts w:hint="eastAsia"/>
                <w:szCs w:val="21"/>
              </w:rPr>
              <w:t>次临界度S/K</w:t>
            </w:r>
          </w:p>
        </w:tc>
        <w:tc>
          <w:tcPr>
            <w:tcW w:w="1810" w:type="dxa"/>
            <w:vAlign w:val="center"/>
          </w:tcPr>
          <w:p w14:paraId="3D5CC0C9" w14:textId="77777777" w:rsidR="008F6B68" w:rsidRDefault="00000000">
            <w:pPr>
              <w:pStyle w:val="aff9"/>
              <w:ind w:firstLineChars="0" w:firstLine="0"/>
              <w:jc w:val="center"/>
              <w:rPr>
                <w:szCs w:val="21"/>
              </w:rPr>
            </w:pPr>
            <w:r>
              <w:rPr>
                <w:rFonts w:hint="eastAsia"/>
                <w:szCs w:val="21"/>
              </w:rPr>
              <w:t>控制中子通量水平</w:t>
            </w:r>
          </w:p>
        </w:tc>
        <w:tc>
          <w:tcPr>
            <w:tcW w:w="1715" w:type="dxa"/>
            <w:vAlign w:val="center"/>
          </w:tcPr>
          <w:p w14:paraId="2A5CAFCB" w14:textId="77777777" w:rsidR="008F6B68" w:rsidRDefault="00000000">
            <w:pPr>
              <w:pStyle w:val="aff9"/>
              <w:ind w:firstLineChars="0" w:firstLine="0"/>
              <w:jc w:val="center"/>
              <w:rPr>
                <w:szCs w:val="21"/>
              </w:rPr>
            </w:pPr>
            <w:r>
              <w:rPr>
                <w:rFonts w:hint="eastAsia"/>
                <w:szCs w:val="21"/>
              </w:rPr>
              <w:t>RPN中间量程</w:t>
            </w:r>
          </w:p>
        </w:tc>
        <w:tc>
          <w:tcPr>
            <w:tcW w:w="1238" w:type="dxa"/>
            <w:vAlign w:val="center"/>
          </w:tcPr>
          <w:p w14:paraId="40D0D13E" w14:textId="77777777" w:rsidR="008F6B68" w:rsidRDefault="00000000">
            <w:pPr>
              <w:pStyle w:val="aff9"/>
              <w:ind w:firstLineChars="0" w:firstLine="0"/>
              <w:jc w:val="center"/>
              <w:rPr>
                <w:szCs w:val="21"/>
              </w:rPr>
            </w:pPr>
            <w:r>
              <w:rPr>
                <w:rFonts w:hint="eastAsia"/>
                <w:szCs w:val="21"/>
              </w:rPr>
              <w:t>反应性</w:t>
            </w:r>
          </w:p>
        </w:tc>
      </w:tr>
      <w:tr w:rsidR="008F6B68" w14:paraId="32E8093F" w14:textId="77777777">
        <w:tc>
          <w:tcPr>
            <w:tcW w:w="1097" w:type="dxa"/>
            <w:vMerge/>
            <w:vAlign w:val="center"/>
          </w:tcPr>
          <w:p w14:paraId="38AACF5D" w14:textId="77777777" w:rsidR="008F6B68" w:rsidRDefault="008F6B68">
            <w:pPr>
              <w:pStyle w:val="aff9"/>
              <w:ind w:firstLineChars="0" w:firstLine="0"/>
              <w:jc w:val="center"/>
              <w:rPr>
                <w:szCs w:val="21"/>
              </w:rPr>
            </w:pPr>
          </w:p>
        </w:tc>
        <w:tc>
          <w:tcPr>
            <w:tcW w:w="1875" w:type="dxa"/>
            <w:vAlign w:val="center"/>
          </w:tcPr>
          <w:p w14:paraId="0BE1F2AA" w14:textId="77777777" w:rsidR="008F6B68" w:rsidRDefault="00000000">
            <w:pPr>
              <w:pStyle w:val="aff9"/>
              <w:ind w:firstLineChars="0" w:firstLine="0"/>
              <w:jc w:val="center"/>
              <w:rPr>
                <w:szCs w:val="21"/>
              </w:rPr>
            </w:pPr>
            <w:r>
              <w:rPr>
                <w:rFonts w:hint="eastAsia"/>
                <w:szCs w:val="21"/>
              </w:rPr>
              <w:t>余热导出WR（P/T）</w:t>
            </w:r>
          </w:p>
        </w:tc>
        <w:tc>
          <w:tcPr>
            <w:tcW w:w="1810" w:type="dxa"/>
            <w:vAlign w:val="center"/>
          </w:tcPr>
          <w:p w14:paraId="762708FF" w14:textId="77777777" w:rsidR="008F6B68" w:rsidRDefault="00000000">
            <w:pPr>
              <w:pStyle w:val="aff9"/>
              <w:ind w:firstLineChars="0" w:firstLine="0"/>
              <w:jc w:val="center"/>
              <w:rPr>
                <w:szCs w:val="21"/>
              </w:rPr>
            </w:pPr>
            <w:r>
              <w:rPr>
                <w:rFonts w:hint="eastAsia"/>
                <w:szCs w:val="21"/>
              </w:rPr>
              <w:t>导出一回路能量</w:t>
            </w:r>
          </w:p>
        </w:tc>
        <w:tc>
          <w:tcPr>
            <w:tcW w:w="1715" w:type="dxa"/>
            <w:vAlign w:val="center"/>
          </w:tcPr>
          <w:p w14:paraId="5291030A" w14:textId="77777777" w:rsidR="008F6B68" w:rsidRDefault="00000000">
            <w:pPr>
              <w:pStyle w:val="aff9"/>
              <w:ind w:firstLineChars="0" w:firstLine="0"/>
              <w:jc w:val="center"/>
              <w:rPr>
                <w:rFonts w:hAnsi="宋体" w:cs="宋体" w:hint="eastAsia"/>
                <w:szCs w:val="21"/>
              </w:rPr>
            </w:pPr>
            <w:r>
              <w:rPr>
                <w:rFonts w:hAnsi="宋体" w:cs="宋体" w:hint="eastAsia"/>
                <w:szCs w:val="21"/>
              </w:rPr>
              <w:t>△Tsat</w:t>
            </w:r>
          </w:p>
        </w:tc>
        <w:tc>
          <w:tcPr>
            <w:tcW w:w="1238" w:type="dxa"/>
            <w:vMerge w:val="restart"/>
            <w:vAlign w:val="center"/>
          </w:tcPr>
          <w:p w14:paraId="202E7FC2" w14:textId="77777777" w:rsidR="008F6B68" w:rsidRDefault="00000000">
            <w:pPr>
              <w:pStyle w:val="aff9"/>
              <w:ind w:firstLineChars="0" w:firstLine="0"/>
              <w:jc w:val="center"/>
              <w:rPr>
                <w:szCs w:val="21"/>
              </w:rPr>
            </w:pPr>
            <w:r>
              <w:rPr>
                <w:rFonts w:hint="eastAsia"/>
                <w:szCs w:val="21"/>
              </w:rPr>
              <w:t>冷却</w:t>
            </w:r>
          </w:p>
        </w:tc>
      </w:tr>
      <w:tr w:rsidR="008F6B68" w14:paraId="40729626" w14:textId="77777777">
        <w:tc>
          <w:tcPr>
            <w:tcW w:w="1097" w:type="dxa"/>
            <w:vMerge/>
            <w:vAlign w:val="center"/>
          </w:tcPr>
          <w:p w14:paraId="0AB79294" w14:textId="77777777" w:rsidR="008F6B68" w:rsidRDefault="008F6B68">
            <w:pPr>
              <w:pStyle w:val="aff9"/>
              <w:ind w:firstLineChars="0" w:firstLine="0"/>
              <w:jc w:val="center"/>
              <w:rPr>
                <w:szCs w:val="21"/>
              </w:rPr>
            </w:pPr>
          </w:p>
        </w:tc>
        <w:tc>
          <w:tcPr>
            <w:tcW w:w="1875" w:type="dxa"/>
            <w:vAlign w:val="center"/>
          </w:tcPr>
          <w:p w14:paraId="3F7EDF54" w14:textId="77777777" w:rsidR="008F6B68" w:rsidRDefault="00000000">
            <w:pPr>
              <w:pStyle w:val="aff9"/>
              <w:ind w:firstLineChars="0" w:firstLine="0"/>
              <w:jc w:val="center"/>
              <w:rPr>
                <w:szCs w:val="21"/>
              </w:rPr>
            </w:pPr>
            <w:r>
              <w:rPr>
                <w:rFonts w:hint="eastAsia"/>
                <w:szCs w:val="21"/>
              </w:rPr>
              <w:t>一回路水装量</w:t>
            </w:r>
          </w:p>
        </w:tc>
        <w:tc>
          <w:tcPr>
            <w:tcW w:w="1810" w:type="dxa"/>
            <w:vAlign w:val="center"/>
          </w:tcPr>
          <w:p w14:paraId="014A6FC3" w14:textId="77777777" w:rsidR="008F6B68" w:rsidRDefault="00000000">
            <w:pPr>
              <w:pStyle w:val="aff9"/>
              <w:ind w:firstLineChars="0" w:firstLine="0"/>
              <w:jc w:val="center"/>
              <w:rPr>
                <w:szCs w:val="21"/>
              </w:rPr>
            </w:pPr>
            <w:r>
              <w:rPr>
                <w:rFonts w:hint="eastAsia"/>
                <w:szCs w:val="21"/>
              </w:rPr>
              <w:t>保持堆芯冷却</w:t>
            </w:r>
          </w:p>
        </w:tc>
        <w:tc>
          <w:tcPr>
            <w:tcW w:w="1715" w:type="dxa"/>
            <w:vAlign w:val="center"/>
          </w:tcPr>
          <w:p w14:paraId="1FAE41F1" w14:textId="77777777" w:rsidR="008F6B68" w:rsidRDefault="00000000">
            <w:pPr>
              <w:pStyle w:val="aff9"/>
              <w:ind w:firstLineChars="0" w:firstLine="0"/>
              <w:jc w:val="center"/>
              <w:rPr>
                <w:szCs w:val="21"/>
              </w:rPr>
            </w:pPr>
            <w:r>
              <w:rPr>
                <w:rFonts w:hint="eastAsia"/>
                <w:szCs w:val="21"/>
              </w:rPr>
              <w:t>压力容器水位</w:t>
            </w:r>
          </w:p>
        </w:tc>
        <w:tc>
          <w:tcPr>
            <w:tcW w:w="1238" w:type="dxa"/>
            <w:vMerge/>
            <w:vAlign w:val="center"/>
          </w:tcPr>
          <w:p w14:paraId="7B247392" w14:textId="77777777" w:rsidR="008F6B68" w:rsidRDefault="008F6B68">
            <w:pPr>
              <w:pStyle w:val="aff9"/>
              <w:ind w:firstLineChars="0" w:firstLine="0"/>
              <w:jc w:val="center"/>
              <w:rPr>
                <w:szCs w:val="21"/>
              </w:rPr>
            </w:pPr>
          </w:p>
        </w:tc>
      </w:tr>
      <w:tr w:rsidR="008F6B68" w14:paraId="4083DBA4" w14:textId="77777777">
        <w:tc>
          <w:tcPr>
            <w:tcW w:w="1097" w:type="dxa"/>
            <w:vMerge w:val="restart"/>
            <w:vAlign w:val="center"/>
          </w:tcPr>
          <w:p w14:paraId="06F6F378" w14:textId="77777777" w:rsidR="008F6B68" w:rsidRDefault="00000000">
            <w:pPr>
              <w:pStyle w:val="aff9"/>
              <w:ind w:firstLineChars="0" w:firstLine="0"/>
              <w:jc w:val="center"/>
              <w:rPr>
                <w:szCs w:val="21"/>
              </w:rPr>
            </w:pPr>
            <w:r>
              <w:rPr>
                <w:rFonts w:hint="eastAsia"/>
                <w:szCs w:val="21"/>
              </w:rPr>
              <w:t>二回路</w:t>
            </w:r>
          </w:p>
          <w:p w14:paraId="4AE6F6E5" w14:textId="77777777" w:rsidR="008F6B68" w:rsidRDefault="00000000">
            <w:pPr>
              <w:pStyle w:val="aff9"/>
              <w:ind w:firstLineChars="0" w:firstLine="0"/>
              <w:jc w:val="center"/>
              <w:rPr>
                <w:szCs w:val="21"/>
              </w:rPr>
            </w:pPr>
            <w:r>
              <w:rPr>
                <w:rFonts w:hint="eastAsia"/>
                <w:szCs w:val="21"/>
              </w:rPr>
              <w:t>状态参数</w:t>
            </w:r>
          </w:p>
        </w:tc>
        <w:tc>
          <w:tcPr>
            <w:tcW w:w="1875" w:type="dxa"/>
            <w:vAlign w:val="center"/>
          </w:tcPr>
          <w:p w14:paraId="199A80CA" w14:textId="77777777" w:rsidR="008F6B68" w:rsidRDefault="00000000">
            <w:pPr>
              <w:pStyle w:val="aff9"/>
              <w:ind w:firstLineChars="0" w:firstLine="0"/>
              <w:jc w:val="center"/>
              <w:rPr>
                <w:szCs w:val="21"/>
              </w:rPr>
            </w:pPr>
            <w:r>
              <w:rPr>
                <w:rFonts w:hint="eastAsia"/>
                <w:szCs w:val="21"/>
              </w:rPr>
              <w:t>SG水装量</w:t>
            </w:r>
          </w:p>
        </w:tc>
        <w:tc>
          <w:tcPr>
            <w:tcW w:w="1810" w:type="dxa"/>
            <w:vAlign w:val="center"/>
          </w:tcPr>
          <w:p w14:paraId="574B97CE" w14:textId="77777777" w:rsidR="008F6B68" w:rsidRDefault="00000000">
            <w:pPr>
              <w:pStyle w:val="aff9"/>
              <w:ind w:firstLineChars="0" w:firstLine="0"/>
              <w:jc w:val="center"/>
              <w:rPr>
                <w:szCs w:val="21"/>
              </w:rPr>
            </w:pPr>
            <w:r>
              <w:rPr>
                <w:rFonts w:hint="eastAsia"/>
                <w:szCs w:val="21"/>
              </w:rPr>
              <w:t>导出一回路能量</w:t>
            </w:r>
          </w:p>
        </w:tc>
        <w:tc>
          <w:tcPr>
            <w:tcW w:w="1715" w:type="dxa"/>
            <w:vAlign w:val="center"/>
          </w:tcPr>
          <w:p w14:paraId="0A0B8C30" w14:textId="77777777" w:rsidR="008F6B68" w:rsidRDefault="00000000">
            <w:pPr>
              <w:pStyle w:val="aff9"/>
              <w:ind w:firstLineChars="0" w:firstLine="0"/>
              <w:jc w:val="center"/>
              <w:rPr>
                <w:szCs w:val="21"/>
              </w:rPr>
            </w:pPr>
            <w:r>
              <w:rPr>
                <w:rFonts w:hint="eastAsia"/>
                <w:szCs w:val="21"/>
              </w:rPr>
              <w:t>SG水位</w:t>
            </w:r>
          </w:p>
        </w:tc>
        <w:tc>
          <w:tcPr>
            <w:tcW w:w="1238" w:type="dxa"/>
            <w:vMerge/>
            <w:vAlign w:val="center"/>
          </w:tcPr>
          <w:p w14:paraId="780DB273" w14:textId="77777777" w:rsidR="008F6B68" w:rsidRDefault="008F6B68">
            <w:pPr>
              <w:pStyle w:val="aff9"/>
              <w:ind w:firstLineChars="0" w:firstLine="0"/>
              <w:jc w:val="center"/>
              <w:rPr>
                <w:szCs w:val="21"/>
              </w:rPr>
            </w:pPr>
          </w:p>
        </w:tc>
      </w:tr>
      <w:tr w:rsidR="008F6B68" w14:paraId="0DDC08C4" w14:textId="77777777">
        <w:tc>
          <w:tcPr>
            <w:tcW w:w="1097" w:type="dxa"/>
            <w:vMerge/>
            <w:vAlign w:val="center"/>
          </w:tcPr>
          <w:p w14:paraId="1D8DF1C8" w14:textId="77777777" w:rsidR="008F6B68" w:rsidRDefault="008F6B68">
            <w:pPr>
              <w:pStyle w:val="aff9"/>
              <w:ind w:firstLineChars="0" w:firstLine="0"/>
              <w:jc w:val="center"/>
              <w:rPr>
                <w:szCs w:val="21"/>
              </w:rPr>
            </w:pPr>
          </w:p>
        </w:tc>
        <w:tc>
          <w:tcPr>
            <w:tcW w:w="1875" w:type="dxa"/>
            <w:vAlign w:val="center"/>
          </w:tcPr>
          <w:p w14:paraId="698138E8" w14:textId="77777777" w:rsidR="008F6B68" w:rsidRDefault="00000000">
            <w:pPr>
              <w:pStyle w:val="aff9"/>
              <w:ind w:firstLineChars="0" w:firstLine="0"/>
              <w:jc w:val="center"/>
              <w:rPr>
                <w:szCs w:val="21"/>
              </w:rPr>
            </w:pPr>
            <w:r>
              <w:rPr>
                <w:rFonts w:hint="eastAsia"/>
                <w:szCs w:val="21"/>
              </w:rPr>
              <w:t>SG完整性</w:t>
            </w:r>
          </w:p>
        </w:tc>
        <w:tc>
          <w:tcPr>
            <w:tcW w:w="1810" w:type="dxa"/>
            <w:vMerge w:val="restart"/>
            <w:vAlign w:val="center"/>
          </w:tcPr>
          <w:p w14:paraId="1D70FF6A" w14:textId="77777777" w:rsidR="008F6B68" w:rsidRDefault="00000000">
            <w:pPr>
              <w:pStyle w:val="aff9"/>
              <w:ind w:firstLineChars="0" w:firstLine="0"/>
              <w:jc w:val="center"/>
              <w:rPr>
                <w:szCs w:val="21"/>
              </w:rPr>
            </w:pPr>
            <w:r>
              <w:rPr>
                <w:rFonts w:hint="eastAsia"/>
                <w:szCs w:val="21"/>
              </w:rPr>
              <w:t>限制放射性释放</w:t>
            </w:r>
          </w:p>
        </w:tc>
        <w:tc>
          <w:tcPr>
            <w:tcW w:w="1715" w:type="dxa"/>
            <w:vAlign w:val="center"/>
          </w:tcPr>
          <w:p w14:paraId="130344E6" w14:textId="77777777" w:rsidR="008F6B68" w:rsidRDefault="00000000">
            <w:pPr>
              <w:pStyle w:val="aff9"/>
              <w:ind w:firstLineChars="0" w:firstLine="0"/>
              <w:jc w:val="center"/>
              <w:rPr>
                <w:szCs w:val="21"/>
              </w:rPr>
            </w:pPr>
            <w:r>
              <w:rPr>
                <w:rFonts w:hint="eastAsia"/>
                <w:szCs w:val="21"/>
              </w:rPr>
              <w:t>SG放射性、</w:t>
            </w:r>
          </w:p>
          <w:p w14:paraId="7F76F8A7" w14:textId="77777777" w:rsidR="008F6B68" w:rsidRDefault="00000000">
            <w:pPr>
              <w:pStyle w:val="aff9"/>
              <w:ind w:firstLineChars="0" w:firstLine="0"/>
              <w:jc w:val="center"/>
              <w:rPr>
                <w:szCs w:val="21"/>
              </w:rPr>
            </w:pPr>
            <w:r>
              <w:rPr>
                <w:rFonts w:hint="eastAsia"/>
                <w:szCs w:val="21"/>
              </w:rPr>
              <w:t>SG间的压差</w:t>
            </w:r>
          </w:p>
        </w:tc>
        <w:tc>
          <w:tcPr>
            <w:tcW w:w="1238" w:type="dxa"/>
            <w:vMerge w:val="restart"/>
            <w:vAlign w:val="center"/>
          </w:tcPr>
          <w:p w14:paraId="122E1B5A" w14:textId="77777777" w:rsidR="008F6B68" w:rsidRDefault="00000000">
            <w:pPr>
              <w:pStyle w:val="aff9"/>
              <w:ind w:firstLineChars="0" w:firstLine="0"/>
              <w:jc w:val="center"/>
              <w:rPr>
                <w:szCs w:val="21"/>
              </w:rPr>
            </w:pPr>
            <w:r>
              <w:rPr>
                <w:rFonts w:hint="eastAsia"/>
                <w:szCs w:val="21"/>
              </w:rPr>
              <w:t>屏蔽</w:t>
            </w:r>
          </w:p>
        </w:tc>
      </w:tr>
      <w:tr w:rsidR="008F6B68" w14:paraId="3BE341BA" w14:textId="77777777">
        <w:trPr>
          <w:trHeight w:val="90"/>
        </w:trPr>
        <w:tc>
          <w:tcPr>
            <w:tcW w:w="1097" w:type="dxa"/>
            <w:vAlign w:val="center"/>
          </w:tcPr>
          <w:p w14:paraId="4D48FC1A" w14:textId="77777777" w:rsidR="008F6B68" w:rsidRDefault="00000000">
            <w:pPr>
              <w:pStyle w:val="aff9"/>
              <w:ind w:firstLineChars="0" w:firstLine="0"/>
              <w:jc w:val="center"/>
              <w:rPr>
                <w:szCs w:val="21"/>
              </w:rPr>
            </w:pPr>
            <w:r>
              <w:rPr>
                <w:rFonts w:hint="eastAsia"/>
                <w:szCs w:val="21"/>
              </w:rPr>
              <w:t>安全壳</w:t>
            </w:r>
          </w:p>
          <w:p w14:paraId="03FC546E" w14:textId="77777777" w:rsidR="008F6B68" w:rsidRDefault="00000000">
            <w:pPr>
              <w:pStyle w:val="aff9"/>
              <w:ind w:firstLineChars="0" w:firstLine="0"/>
              <w:jc w:val="center"/>
              <w:rPr>
                <w:szCs w:val="21"/>
              </w:rPr>
            </w:pPr>
            <w:r>
              <w:rPr>
                <w:rFonts w:hint="eastAsia"/>
                <w:szCs w:val="21"/>
              </w:rPr>
              <w:t>状态参数</w:t>
            </w:r>
          </w:p>
        </w:tc>
        <w:tc>
          <w:tcPr>
            <w:tcW w:w="1875" w:type="dxa"/>
            <w:vAlign w:val="center"/>
          </w:tcPr>
          <w:p w14:paraId="023FB16B" w14:textId="77777777" w:rsidR="008F6B68" w:rsidRDefault="00000000">
            <w:pPr>
              <w:pStyle w:val="aff9"/>
              <w:ind w:firstLineChars="0" w:firstLine="0"/>
              <w:jc w:val="center"/>
              <w:rPr>
                <w:szCs w:val="21"/>
              </w:rPr>
            </w:pPr>
            <w:r>
              <w:rPr>
                <w:rFonts w:hint="eastAsia"/>
                <w:szCs w:val="21"/>
              </w:rPr>
              <w:t>安全壳完整性</w:t>
            </w:r>
          </w:p>
        </w:tc>
        <w:tc>
          <w:tcPr>
            <w:tcW w:w="1810" w:type="dxa"/>
            <w:vMerge/>
            <w:vAlign w:val="center"/>
          </w:tcPr>
          <w:p w14:paraId="608604D9" w14:textId="77777777" w:rsidR="008F6B68" w:rsidRDefault="008F6B68">
            <w:pPr>
              <w:pStyle w:val="aff9"/>
              <w:ind w:firstLineChars="0" w:firstLine="0"/>
              <w:jc w:val="center"/>
              <w:rPr>
                <w:szCs w:val="21"/>
              </w:rPr>
            </w:pPr>
          </w:p>
        </w:tc>
        <w:tc>
          <w:tcPr>
            <w:tcW w:w="1715" w:type="dxa"/>
            <w:vAlign w:val="center"/>
          </w:tcPr>
          <w:p w14:paraId="1074F4C5" w14:textId="77777777" w:rsidR="008F6B68" w:rsidRDefault="00000000">
            <w:pPr>
              <w:pStyle w:val="aff9"/>
              <w:ind w:firstLineChars="0" w:firstLine="0"/>
              <w:jc w:val="center"/>
              <w:rPr>
                <w:szCs w:val="21"/>
              </w:rPr>
            </w:pPr>
            <w:r>
              <w:rPr>
                <w:rFonts w:hint="eastAsia"/>
                <w:szCs w:val="21"/>
              </w:rPr>
              <w:t>安全壳压力、</w:t>
            </w:r>
          </w:p>
          <w:p w14:paraId="71DEDE50" w14:textId="77777777" w:rsidR="008F6B68" w:rsidRDefault="00000000">
            <w:pPr>
              <w:pStyle w:val="aff9"/>
              <w:ind w:firstLineChars="0" w:firstLine="0"/>
              <w:jc w:val="center"/>
              <w:rPr>
                <w:szCs w:val="21"/>
              </w:rPr>
            </w:pPr>
            <w:r>
              <w:rPr>
                <w:rFonts w:hint="eastAsia"/>
                <w:szCs w:val="21"/>
              </w:rPr>
              <w:t>放射性</w:t>
            </w:r>
          </w:p>
        </w:tc>
        <w:tc>
          <w:tcPr>
            <w:tcW w:w="1238" w:type="dxa"/>
            <w:vMerge/>
            <w:vAlign w:val="center"/>
          </w:tcPr>
          <w:p w14:paraId="0E039E79" w14:textId="77777777" w:rsidR="008F6B68" w:rsidRDefault="008F6B68">
            <w:pPr>
              <w:pStyle w:val="aff9"/>
              <w:ind w:firstLineChars="0" w:firstLine="0"/>
              <w:jc w:val="center"/>
              <w:rPr>
                <w:szCs w:val="21"/>
              </w:rPr>
            </w:pPr>
          </w:p>
        </w:tc>
      </w:tr>
    </w:tbl>
    <w:p w14:paraId="185D5823" w14:textId="77777777" w:rsidR="008F6B68" w:rsidRDefault="00000000">
      <w:pPr>
        <w:pStyle w:val="afff5"/>
      </w:pPr>
      <w:bookmarkStart w:id="158" w:name="_Toc26017"/>
      <w:bookmarkStart w:id="159" w:name="_Toc19835"/>
      <w:bookmarkStart w:id="160" w:name="_Toc28157"/>
      <w:bookmarkStart w:id="161" w:name="_Toc669"/>
      <w:r>
        <w:rPr>
          <w:rFonts w:hint="eastAsia"/>
        </w:rPr>
        <w:t>8.4八大运行控制策略</w:t>
      </w:r>
      <w:bookmarkEnd w:id="158"/>
      <w:bookmarkEnd w:id="159"/>
      <w:bookmarkEnd w:id="160"/>
      <w:bookmarkEnd w:id="161"/>
    </w:p>
    <w:p w14:paraId="500AE8D7" w14:textId="77777777" w:rsidR="008F6B68" w:rsidRDefault="00000000">
      <w:pPr>
        <w:pStyle w:val="aff9"/>
        <w:rPr>
          <w:szCs w:val="21"/>
        </w:rPr>
      </w:pPr>
      <w:r>
        <w:rPr>
          <w:rFonts w:hint="eastAsia"/>
          <w:szCs w:val="21"/>
        </w:rPr>
        <w:t>为确保遵循保护堆芯和安全壳的安全要求并尽可能限制潜在后果，并将机组安全可控地后撤到安全状态，总结了八大运行控制策略。</w:t>
      </w:r>
    </w:p>
    <w:p w14:paraId="4D936DCD" w14:textId="77777777" w:rsidR="008F6B68" w:rsidRDefault="00000000">
      <w:pPr>
        <w:pStyle w:val="aff9"/>
        <w:rPr>
          <w:szCs w:val="21"/>
        </w:rPr>
      </w:pPr>
      <w:r>
        <w:rPr>
          <w:rFonts w:hint="eastAsia"/>
          <w:szCs w:val="21"/>
        </w:rPr>
        <w:t>当一回路水装量严重降级时，堆芯完全裸露存在融化的风险，相应的处理策略为实施堆芯最终保护措施。</w:t>
      </w:r>
    </w:p>
    <w:p w14:paraId="2BE82851" w14:textId="77777777" w:rsidR="008F6B68" w:rsidRDefault="00000000">
      <w:pPr>
        <w:pStyle w:val="aff9"/>
        <w:rPr>
          <w:szCs w:val="21"/>
        </w:rPr>
      </w:pPr>
      <w:r>
        <w:rPr>
          <w:rFonts w:hint="eastAsia"/>
          <w:szCs w:val="21"/>
        </w:rPr>
        <w:t>一回路的三个状态功能参数降级，将导致堆芯损坏的风险急剧增加，因此，及时恢复该状态功能至关重要。如果一回路的三个状态功能参数中仅有一个参数降级，恢复降级功能的运行策略有：重建一回路水装量、重新建立余热导出、控制△Tsat、恢复次临界状态。如果三个一回路状态参数均没有降级，则短期内能保障堆芯安全，此时的总体控制目标是将机组维持当前或后撤到后备状态。依据状态功能参数降级的严重程度来选择稳定、平稳后撤、快速后撤中的一种后撤策略。</w:t>
      </w:r>
    </w:p>
    <w:p w14:paraId="045F72E9" w14:textId="77777777" w:rsidR="008F6B68" w:rsidRDefault="00000000">
      <w:pPr>
        <w:pStyle w:val="aff9"/>
        <w:rPr>
          <w:szCs w:val="21"/>
        </w:rPr>
      </w:pPr>
      <w:r>
        <w:rPr>
          <w:rFonts w:hint="eastAsia"/>
          <w:szCs w:val="21"/>
        </w:rPr>
        <w:t>一旦有多个状态参数降级（或严重降级），需要由功能目标的分级原则来确定需要采取的策略，详见表4。</w:t>
      </w:r>
    </w:p>
    <w:p w14:paraId="5CC8130F" w14:textId="77777777" w:rsidR="008F6B68" w:rsidRDefault="00000000">
      <w:pPr>
        <w:pStyle w:val="aff9"/>
        <w:ind w:firstLineChars="0" w:firstLine="0"/>
        <w:jc w:val="center"/>
        <w:rPr>
          <w:szCs w:val="21"/>
        </w:rPr>
      </w:pPr>
      <w:r>
        <w:rPr>
          <w:rFonts w:hint="eastAsia"/>
          <w:szCs w:val="21"/>
        </w:rPr>
        <w:lastRenderedPageBreak/>
        <w:t>表4 八大运行控制策略</w:t>
      </w:r>
    </w:p>
    <w:tbl>
      <w:tblPr>
        <w:tblW w:w="8866" w:type="dxa"/>
        <w:tblInd w:w="3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68"/>
        <w:gridCol w:w="1735"/>
        <w:gridCol w:w="4163"/>
      </w:tblGrid>
      <w:tr w:rsidR="008F6B68" w14:paraId="1E0253F6" w14:textId="77777777">
        <w:trPr>
          <w:trHeight w:val="420"/>
        </w:trPr>
        <w:tc>
          <w:tcPr>
            <w:tcW w:w="2968" w:type="dxa"/>
            <w:vAlign w:val="center"/>
          </w:tcPr>
          <w:p w14:paraId="02900C0E" w14:textId="77777777" w:rsidR="008F6B68" w:rsidRDefault="00000000">
            <w:pPr>
              <w:pStyle w:val="aff9"/>
              <w:ind w:firstLineChars="0" w:firstLine="0"/>
              <w:jc w:val="center"/>
              <w:rPr>
                <w:szCs w:val="21"/>
              </w:rPr>
            </w:pPr>
            <w:r>
              <w:rPr>
                <w:rFonts w:hint="eastAsia"/>
                <w:szCs w:val="21"/>
              </w:rPr>
              <w:t>功能状态</w:t>
            </w:r>
          </w:p>
        </w:tc>
        <w:tc>
          <w:tcPr>
            <w:tcW w:w="1735" w:type="dxa"/>
            <w:vAlign w:val="center"/>
          </w:tcPr>
          <w:p w14:paraId="6B2B3440" w14:textId="77777777" w:rsidR="008F6B68" w:rsidRDefault="00000000">
            <w:pPr>
              <w:pStyle w:val="aff9"/>
              <w:ind w:firstLineChars="0" w:firstLine="0"/>
              <w:jc w:val="center"/>
              <w:rPr>
                <w:szCs w:val="21"/>
              </w:rPr>
            </w:pPr>
            <w:r>
              <w:rPr>
                <w:rFonts w:hint="eastAsia"/>
                <w:szCs w:val="21"/>
              </w:rPr>
              <w:t>运行策略</w:t>
            </w:r>
          </w:p>
        </w:tc>
        <w:tc>
          <w:tcPr>
            <w:tcW w:w="4163" w:type="dxa"/>
            <w:vAlign w:val="center"/>
          </w:tcPr>
          <w:p w14:paraId="738059CF" w14:textId="77777777" w:rsidR="008F6B68" w:rsidRDefault="00000000">
            <w:pPr>
              <w:pStyle w:val="aff9"/>
              <w:ind w:firstLineChars="0" w:firstLine="0"/>
              <w:jc w:val="center"/>
              <w:rPr>
                <w:szCs w:val="21"/>
              </w:rPr>
            </w:pPr>
            <w:r>
              <w:rPr>
                <w:rFonts w:hint="eastAsia"/>
                <w:szCs w:val="21"/>
              </w:rPr>
              <w:t>目标</w:t>
            </w:r>
          </w:p>
        </w:tc>
      </w:tr>
      <w:tr w:rsidR="008F6B68" w14:paraId="04438443" w14:textId="77777777">
        <w:trPr>
          <w:trHeight w:val="400"/>
        </w:trPr>
        <w:tc>
          <w:tcPr>
            <w:tcW w:w="2968" w:type="dxa"/>
            <w:vAlign w:val="center"/>
          </w:tcPr>
          <w:p w14:paraId="5A5BBE49" w14:textId="77777777" w:rsidR="008F6B68" w:rsidRDefault="00000000">
            <w:pPr>
              <w:pStyle w:val="aff9"/>
              <w:ind w:firstLineChars="0" w:firstLine="0"/>
              <w:jc w:val="center"/>
              <w:rPr>
                <w:szCs w:val="21"/>
              </w:rPr>
            </w:pPr>
            <w:r>
              <w:rPr>
                <w:rFonts w:hint="eastAsia"/>
                <w:szCs w:val="21"/>
              </w:rPr>
              <w:t>6个状态功能参数无降级</w:t>
            </w:r>
          </w:p>
        </w:tc>
        <w:tc>
          <w:tcPr>
            <w:tcW w:w="1735" w:type="dxa"/>
            <w:vAlign w:val="center"/>
          </w:tcPr>
          <w:p w14:paraId="0C9FE006" w14:textId="77777777" w:rsidR="008F6B68" w:rsidRDefault="00000000">
            <w:pPr>
              <w:pStyle w:val="aff9"/>
              <w:ind w:firstLineChars="0" w:firstLine="0"/>
              <w:jc w:val="center"/>
              <w:rPr>
                <w:szCs w:val="21"/>
              </w:rPr>
            </w:pPr>
            <w:r>
              <w:rPr>
                <w:rFonts w:hint="eastAsia"/>
                <w:szCs w:val="21"/>
              </w:rPr>
              <w:t>稳定</w:t>
            </w:r>
          </w:p>
        </w:tc>
        <w:tc>
          <w:tcPr>
            <w:tcW w:w="4163" w:type="dxa"/>
            <w:vAlign w:val="center"/>
          </w:tcPr>
          <w:p w14:paraId="6C61F010" w14:textId="77777777" w:rsidR="008F6B68" w:rsidRDefault="00000000">
            <w:pPr>
              <w:pStyle w:val="aff9"/>
              <w:ind w:firstLineChars="0" w:firstLine="0"/>
              <w:jc w:val="center"/>
              <w:rPr>
                <w:szCs w:val="21"/>
              </w:rPr>
            </w:pPr>
            <w:r>
              <w:rPr>
                <w:rFonts w:hint="eastAsia"/>
                <w:szCs w:val="21"/>
              </w:rPr>
              <w:t>控制机组重新返回正常运行区域，或在后备状态等待</w:t>
            </w:r>
          </w:p>
        </w:tc>
      </w:tr>
      <w:tr w:rsidR="008F6B68" w14:paraId="530EA1FE" w14:textId="77777777">
        <w:trPr>
          <w:trHeight w:val="380"/>
        </w:trPr>
        <w:tc>
          <w:tcPr>
            <w:tcW w:w="2968" w:type="dxa"/>
            <w:vAlign w:val="center"/>
          </w:tcPr>
          <w:p w14:paraId="2D35A7ED" w14:textId="77777777" w:rsidR="008F6B68" w:rsidRDefault="00000000">
            <w:pPr>
              <w:pStyle w:val="aff9"/>
              <w:ind w:firstLineChars="0" w:firstLine="0"/>
              <w:jc w:val="center"/>
              <w:rPr>
                <w:szCs w:val="21"/>
              </w:rPr>
            </w:pPr>
            <w:r>
              <w:rPr>
                <w:rFonts w:hint="eastAsia"/>
                <w:szCs w:val="21"/>
              </w:rPr>
              <w:t>6个状态功能参数无降级，存在系统不可用或小泄漏</w:t>
            </w:r>
          </w:p>
        </w:tc>
        <w:tc>
          <w:tcPr>
            <w:tcW w:w="1735" w:type="dxa"/>
            <w:vAlign w:val="center"/>
          </w:tcPr>
          <w:p w14:paraId="7E7801AA" w14:textId="77777777" w:rsidR="008F6B68" w:rsidRDefault="00000000">
            <w:pPr>
              <w:pStyle w:val="aff9"/>
              <w:ind w:firstLineChars="0" w:firstLine="0"/>
              <w:jc w:val="center"/>
              <w:rPr>
                <w:szCs w:val="21"/>
              </w:rPr>
            </w:pPr>
            <w:r>
              <w:rPr>
                <w:rFonts w:hint="eastAsia"/>
                <w:szCs w:val="21"/>
              </w:rPr>
              <w:t>平稳后撤</w:t>
            </w:r>
          </w:p>
        </w:tc>
        <w:tc>
          <w:tcPr>
            <w:tcW w:w="4163" w:type="dxa"/>
            <w:vAlign w:val="center"/>
          </w:tcPr>
          <w:p w14:paraId="5CE4DD67" w14:textId="77777777" w:rsidR="008F6B68" w:rsidRDefault="00000000">
            <w:pPr>
              <w:pStyle w:val="aff9"/>
              <w:ind w:firstLineChars="0" w:firstLine="0"/>
              <w:jc w:val="center"/>
              <w:rPr>
                <w:szCs w:val="21"/>
              </w:rPr>
            </w:pPr>
            <w:r>
              <w:rPr>
                <w:rFonts w:hint="eastAsia"/>
                <w:szCs w:val="21"/>
              </w:rPr>
              <w:t>后撤到后备状态，以进行维修处理或进行正常运行控制</w:t>
            </w:r>
          </w:p>
        </w:tc>
      </w:tr>
      <w:tr w:rsidR="008F6B68" w14:paraId="5545CFF0" w14:textId="77777777">
        <w:trPr>
          <w:trHeight w:val="450"/>
        </w:trPr>
        <w:tc>
          <w:tcPr>
            <w:tcW w:w="2968" w:type="dxa"/>
            <w:vAlign w:val="center"/>
          </w:tcPr>
          <w:p w14:paraId="7369647D" w14:textId="77777777" w:rsidR="008F6B68" w:rsidRDefault="00000000">
            <w:pPr>
              <w:pStyle w:val="aff9"/>
              <w:ind w:firstLineChars="0" w:firstLine="0"/>
              <w:jc w:val="center"/>
              <w:rPr>
                <w:szCs w:val="21"/>
              </w:rPr>
            </w:pPr>
            <w:r>
              <w:rPr>
                <w:rFonts w:hint="eastAsia"/>
                <w:szCs w:val="21"/>
              </w:rPr>
              <w:t>部分状态功能参数降级</w:t>
            </w:r>
          </w:p>
        </w:tc>
        <w:tc>
          <w:tcPr>
            <w:tcW w:w="1735" w:type="dxa"/>
            <w:vAlign w:val="center"/>
          </w:tcPr>
          <w:p w14:paraId="2D40F9BC" w14:textId="77777777" w:rsidR="008F6B68" w:rsidRDefault="00000000">
            <w:pPr>
              <w:pStyle w:val="aff9"/>
              <w:ind w:firstLineChars="0" w:firstLine="0"/>
              <w:jc w:val="center"/>
              <w:rPr>
                <w:szCs w:val="21"/>
              </w:rPr>
            </w:pPr>
            <w:r>
              <w:rPr>
                <w:rFonts w:hint="eastAsia"/>
                <w:szCs w:val="21"/>
              </w:rPr>
              <w:t>快速后撤</w:t>
            </w:r>
          </w:p>
        </w:tc>
        <w:tc>
          <w:tcPr>
            <w:tcW w:w="4163" w:type="dxa"/>
            <w:vAlign w:val="center"/>
          </w:tcPr>
          <w:p w14:paraId="30B9718C" w14:textId="77777777" w:rsidR="008F6B68" w:rsidRDefault="00000000">
            <w:pPr>
              <w:pStyle w:val="aff9"/>
              <w:ind w:firstLineChars="0" w:firstLine="0"/>
              <w:jc w:val="center"/>
              <w:rPr>
                <w:szCs w:val="21"/>
              </w:rPr>
            </w:pPr>
            <w:r>
              <w:rPr>
                <w:rFonts w:hint="eastAsia"/>
                <w:szCs w:val="21"/>
              </w:rPr>
              <w:t>尽快后撤到后备状态，以减少事故后果</w:t>
            </w:r>
          </w:p>
        </w:tc>
      </w:tr>
      <w:tr w:rsidR="008F6B68" w14:paraId="11293463" w14:textId="77777777">
        <w:trPr>
          <w:trHeight w:val="430"/>
        </w:trPr>
        <w:tc>
          <w:tcPr>
            <w:tcW w:w="2968" w:type="dxa"/>
            <w:vAlign w:val="center"/>
          </w:tcPr>
          <w:p w14:paraId="72472059" w14:textId="77777777" w:rsidR="008F6B68" w:rsidRDefault="00000000">
            <w:pPr>
              <w:pStyle w:val="aff9"/>
              <w:ind w:firstLineChars="0" w:firstLine="0"/>
              <w:jc w:val="center"/>
              <w:rPr>
                <w:szCs w:val="21"/>
              </w:rPr>
            </w:pPr>
            <w:r>
              <w:rPr>
                <w:rFonts w:hint="eastAsia"/>
                <w:szCs w:val="21"/>
              </w:rPr>
              <w:t>一回路流体严重过冷：WR（P，T）降级（△Tsat＞140℃）</w:t>
            </w:r>
          </w:p>
        </w:tc>
        <w:tc>
          <w:tcPr>
            <w:tcW w:w="1735" w:type="dxa"/>
            <w:vAlign w:val="center"/>
          </w:tcPr>
          <w:p w14:paraId="2DB0E155" w14:textId="77777777" w:rsidR="008F6B68" w:rsidRDefault="00000000">
            <w:pPr>
              <w:pStyle w:val="aff9"/>
              <w:ind w:firstLineChars="0" w:firstLine="0"/>
              <w:jc w:val="center"/>
              <w:rPr>
                <w:szCs w:val="21"/>
              </w:rPr>
            </w:pPr>
            <w:r>
              <w:rPr>
                <w:rFonts w:hint="eastAsia"/>
                <w:szCs w:val="21"/>
              </w:rPr>
              <w:t>减少△Tsat</w:t>
            </w:r>
          </w:p>
        </w:tc>
        <w:tc>
          <w:tcPr>
            <w:tcW w:w="4163" w:type="dxa"/>
            <w:vAlign w:val="center"/>
          </w:tcPr>
          <w:p w14:paraId="75C13C0A" w14:textId="77777777" w:rsidR="008F6B68" w:rsidRDefault="00000000">
            <w:pPr>
              <w:pStyle w:val="aff9"/>
              <w:ind w:firstLineChars="0" w:firstLine="0"/>
              <w:jc w:val="center"/>
              <w:rPr>
                <w:szCs w:val="21"/>
              </w:rPr>
            </w:pPr>
            <w:r>
              <w:rPr>
                <w:rFonts w:hint="eastAsia"/>
                <w:szCs w:val="21"/>
              </w:rPr>
              <w:t>避免对压力容器产生冷冲击，控制机组返回到（P，T）图的正常范围内</w:t>
            </w:r>
          </w:p>
        </w:tc>
      </w:tr>
      <w:tr w:rsidR="008F6B68" w14:paraId="22456010" w14:textId="77777777">
        <w:trPr>
          <w:trHeight w:val="570"/>
        </w:trPr>
        <w:tc>
          <w:tcPr>
            <w:tcW w:w="2968" w:type="dxa"/>
            <w:vAlign w:val="center"/>
          </w:tcPr>
          <w:p w14:paraId="74CB6B0A" w14:textId="77777777" w:rsidR="008F6B68" w:rsidRDefault="00000000">
            <w:pPr>
              <w:pStyle w:val="aff9"/>
              <w:ind w:firstLineChars="0" w:firstLine="0"/>
              <w:jc w:val="center"/>
              <w:rPr>
                <w:szCs w:val="21"/>
              </w:rPr>
            </w:pPr>
            <w:r>
              <w:rPr>
                <w:rFonts w:hint="eastAsia"/>
                <w:szCs w:val="21"/>
              </w:rPr>
              <w:t>因二回路失去余热导出：WR（P，T）功能降级</w:t>
            </w:r>
          </w:p>
        </w:tc>
        <w:tc>
          <w:tcPr>
            <w:tcW w:w="1735" w:type="dxa"/>
            <w:vAlign w:val="center"/>
          </w:tcPr>
          <w:p w14:paraId="3AD65DDD" w14:textId="77777777" w:rsidR="008F6B68" w:rsidRDefault="00000000">
            <w:pPr>
              <w:pStyle w:val="aff9"/>
              <w:ind w:firstLineChars="0" w:firstLine="0"/>
              <w:jc w:val="center"/>
              <w:rPr>
                <w:szCs w:val="21"/>
              </w:rPr>
            </w:pPr>
            <w:r>
              <w:rPr>
                <w:rFonts w:hint="eastAsia"/>
                <w:szCs w:val="21"/>
              </w:rPr>
              <w:t>重建余热导出</w:t>
            </w:r>
          </w:p>
        </w:tc>
        <w:tc>
          <w:tcPr>
            <w:tcW w:w="4163" w:type="dxa"/>
            <w:vAlign w:val="center"/>
          </w:tcPr>
          <w:p w14:paraId="4CDBAB3F" w14:textId="77777777" w:rsidR="008F6B68" w:rsidRDefault="00000000">
            <w:pPr>
              <w:pStyle w:val="aff9"/>
              <w:ind w:firstLineChars="0" w:firstLine="0"/>
              <w:jc w:val="center"/>
              <w:rPr>
                <w:szCs w:val="21"/>
              </w:rPr>
            </w:pPr>
            <w:r>
              <w:rPr>
                <w:rFonts w:hint="eastAsia"/>
                <w:szCs w:val="21"/>
              </w:rPr>
              <w:t>通过充－排方式，导出堆芯余热</w:t>
            </w:r>
          </w:p>
        </w:tc>
      </w:tr>
      <w:tr w:rsidR="008F6B68" w14:paraId="35BCEF06" w14:textId="77777777">
        <w:trPr>
          <w:trHeight w:val="540"/>
        </w:trPr>
        <w:tc>
          <w:tcPr>
            <w:tcW w:w="2968" w:type="dxa"/>
            <w:vAlign w:val="center"/>
          </w:tcPr>
          <w:p w14:paraId="5A8306ED" w14:textId="77777777" w:rsidR="008F6B68" w:rsidRDefault="00000000">
            <w:pPr>
              <w:pStyle w:val="aff9"/>
              <w:ind w:firstLineChars="0" w:firstLine="0"/>
              <w:jc w:val="center"/>
              <w:rPr>
                <w:szCs w:val="21"/>
              </w:rPr>
            </w:pPr>
            <w:r>
              <w:rPr>
                <w:rFonts w:hint="eastAsia"/>
                <w:szCs w:val="21"/>
              </w:rPr>
              <w:t>次临界度异常：S/K功能降级</w:t>
            </w:r>
          </w:p>
        </w:tc>
        <w:tc>
          <w:tcPr>
            <w:tcW w:w="1735" w:type="dxa"/>
            <w:vAlign w:val="center"/>
          </w:tcPr>
          <w:p w14:paraId="6FAD8604" w14:textId="77777777" w:rsidR="008F6B68" w:rsidRDefault="00000000">
            <w:pPr>
              <w:pStyle w:val="aff9"/>
              <w:ind w:firstLineChars="0" w:firstLine="0"/>
              <w:jc w:val="center"/>
              <w:rPr>
                <w:szCs w:val="21"/>
              </w:rPr>
            </w:pPr>
            <w:r>
              <w:rPr>
                <w:rFonts w:hint="eastAsia"/>
                <w:szCs w:val="21"/>
              </w:rPr>
              <w:t>稳定控制核功率</w:t>
            </w:r>
          </w:p>
        </w:tc>
        <w:tc>
          <w:tcPr>
            <w:tcW w:w="4163" w:type="dxa"/>
            <w:vAlign w:val="center"/>
          </w:tcPr>
          <w:p w14:paraId="6EFB3213" w14:textId="77777777" w:rsidR="008F6B68" w:rsidRDefault="00000000">
            <w:pPr>
              <w:pStyle w:val="aff9"/>
              <w:ind w:firstLineChars="0" w:firstLine="0"/>
              <w:jc w:val="center"/>
              <w:rPr>
                <w:szCs w:val="21"/>
              </w:rPr>
            </w:pPr>
            <w:r>
              <w:rPr>
                <w:rFonts w:hint="eastAsia"/>
                <w:szCs w:val="21"/>
              </w:rPr>
              <w:t>硼化到冷停堆硼浓度，确保次临界</w:t>
            </w:r>
          </w:p>
        </w:tc>
      </w:tr>
      <w:tr w:rsidR="008F6B68" w14:paraId="17AE8E21" w14:textId="77777777">
        <w:trPr>
          <w:trHeight w:val="680"/>
        </w:trPr>
        <w:tc>
          <w:tcPr>
            <w:tcW w:w="2968" w:type="dxa"/>
            <w:vAlign w:val="center"/>
          </w:tcPr>
          <w:p w14:paraId="2C2A9737" w14:textId="77777777" w:rsidR="008F6B68" w:rsidRDefault="00000000">
            <w:pPr>
              <w:pStyle w:val="aff9"/>
              <w:ind w:firstLineChars="0" w:firstLine="0"/>
              <w:jc w:val="center"/>
              <w:rPr>
                <w:szCs w:val="21"/>
              </w:rPr>
            </w:pPr>
            <w:r>
              <w:rPr>
                <w:rFonts w:hint="eastAsia"/>
                <w:szCs w:val="21"/>
              </w:rPr>
              <w:t>一回路水装量危机：IEp降级</w:t>
            </w:r>
          </w:p>
        </w:tc>
        <w:tc>
          <w:tcPr>
            <w:tcW w:w="1735" w:type="dxa"/>
            <w:vAlign w:val="center"/>
          </w:tcPr>
          <w:p w14:paraId="78F7F13E" w14:textId="77777777" w:rsidR="008F6B68" w:rsidRDefault="00000000">
            <w:pPr>
              <w:pStyle w:val="aff9"/>
              <w:ind w:firstLineChars="0" w:firstLine="0"/>
              <w:jc w:val="center"/>
              <w:rPr>
                <w:szCs w:val="21"/>
              </w:rPr>
            </w:pPr>
            <w:r>
              <w:rPr>
                <w:rFonts w:hint="eastAsia"/>
                <w:szCs w:val="21"/>
              </w:rPr>
              <w:t>优先重新建立一回路水装量</w:t>
            </w:r>
          </w:p>
        </w:tc>
        <w:tc>
          <w:tcPr>
            <w:tcW w:w="4163" w:type="dxa"/>
            <w:vAlign w:val="center"/>
          </w:tcPr>
          <w:p w14:paraId="5AEED6AD" w14:textId="77777777" w:rsidR="008F6B68" w:rsidRDefault="00000000">
            <w:pPr>
              <w:pStyle w:val="aff9"/>
              <w:ind w:firstLineChars="0" w:firstLine="0"/>
              <w:jc w:val="center"/>
              <w:rPr>
                <w:szCs w:val="21"/>
              </w:rPr>
            </w:pPr>
            <w:r>
              <w:rPr>
                <w:rFonts w:hint="eastAsia"/>
                <w:szCs w:val="21"/>
              </w:rPr>
              <w:t>最少重建一回路水装量到到热管段顶部，然后快速后撤</w:t>
            </w:r>
          </w:p>
        </w:tc>
      </w:tr>
      <w:tr w:rsidR="008F6B68" w14:paraId="5E5B7307" w14:textId="77777777">
        <w:trPr>
          <w:trHeight w:val="650"/>
        </w:trPr>
        <w:tc>
          <w:tcPr>
            <w:tcW w:w="2968" w:type="dxa"/>
            <w:vAlign w:val="center"/>
          </w:tcPr>
          <w:p w14:paraId="1E8F5551" w14:textId="77777777" w:rsidR="008F6B68" w:rsidRDefault="00000000">
            <w:pPr>
              <w:pStyle w:val="aff9"/>
              <w:ind w:firstLineChars="0" w:firstLine="0"/>
              <w:jc w:val="center"/>
              <w:rPr>
                <w:szCs w:val="21"/>
              </w:rPr>
            </w:pPr>
            <w:r>
              <w:rPr>
                <w:rFonts w:hint="eastAsia"/>
                <w:szCs w:val="21"/>
              </w:rPr>
              <w:t>堆芯排空：IEp严重降级</w:t>
            </w:r>
          </w:p>
        </w:tc>
        <w:tc>
          <w:tcPr>
            <w:tcW w:w="1735" w:type="dxa"/>
            <w:vAlign w:val="center"/>
          </w:tcPr>
          <w:p w14:paraId="7BC8C948" w14:textId="77777777" w:rsidR="008F6B68" w:rsidRDefault="00000000">
            <w:pPr>
              <w:pStyle w:val="aff9"/>
              <w:ind w:firstLineChars="0" w:firstLine="0"/>
              <w:jc w:val="center"/>
              <w:rPr>
                <w:szCs w:val="21"/>
              </w:rPr>
            </w:pPr>
            <w:r>
              <w:rPr>
                <w:rFonts w:hint="eastAsia"/>
                <w:szCs w:val="21"/>
              </w:rPr>
              <w:t>堆芯最终保护</w:t>
            </w:r>
          </w:p>
        </w:tc>
        <w:tc>
          <w:tcPr>
            <w:tcW w:w="4163" w:type="dxa"/>
            <w:vAlign w:val="center"/>
          </w:tcPr>
          <w:p w14:paraId="60DECC96" w14:textId="77777777" w:rsidR="008F6B68" w:rsidRDefault="00000000">
            <w:pPr>
              <w:pStyle w:val="aff9"/>
              <w:ind w:firstLineChars="0" w:firstLine="0"/>
              <w:jc w:val="center"/>
              <w:rPr>
                <w:szCs w:val="21"/>
              </w:rPr>
            </w:pPr>
            <w:r>
              <w:rPr>
                <w:rFonts w:hint="eastAsia"/>
                <w:szCs w:val="21"/>
              </w:rPr>
              <w:t>采取一切可用手段给堆芯补水，避免或延迟堆芯融化</w:t>
            </w:r>
          </w:p>
        </w:tc>
      </w:tr>
    </w:tbl>
    <w:p w14:paraId="7558B9E4" w14:textId="77777777" w:rsidR="008F6B68" w:rsidRDefault="00000000">
      <w:pPr>
        <w:pStyle w:val="afff5"/>
      </w:pPr>
      <w:bookmarkStart w:id="162" w:name="_Toc24520"/>
      <w:bookmarkStart w:id="163" w:name="_Toc4885"/>
      <w:bookmarkStart w:id="164" w:name="_Toc22064"/>
      <w:bookmarkStart w:id="165" w:name="_Toc20925"/>
      <w:r>
        <w:rPr>
          <w:rFonts w:hint="eastAsia"/>
        </w:rPr>
        <w:t>8.5事故处理岗位职责</w:t>
      </w:r>
      <w:bookmarkEnd w:id="162"/>
      <w:bookmarkEnd w:id="163"/>
      <w:bookmarkEnd w:id="164"/>
      <w:bookmarkEnd w:id="165"/>
    </w:p>
    <w:p w14:paraId="67E064AD" w14:textId="77777777" w:rsidR="008F6B68" w:rsidRDefault="00000000">
      <w:pPr>
        <w:pStyle w:val="aff9"/>
        <w:rPr>
          <w:szCs w:val="21"/>
        </w:rPr>
      </w:pPr>
      <w:r>
        <w:rPr>
          <w:rFonts w:hint="eastAsia"/>
          <w:szCs w:val="21"/>
        </w:rPr>
        <w:t>事件和事故工况下的运行操作应由完整的运行值执行，岗位至少包括：值长、核安全工程师（STA，若在线值班）、协调员或副值长、操纵员及现场操作员。</w:t>
      </w:r>
    </w:p>
    <w:p w14:paraId="26831CA3" w14:textId="77777777" w:rsidR="008F6B68" w:rsidRDefault="00000000">
      <w:pPr>
        <w:pStyle w:val="aff9"/>
        <w:rPr>
          <w:szCs w:val="21"/>
        </w:rPr>
      </w:pPr>
      <w:r>
        <w:rPr>
          <w:rFonts w:hint="eastAsia"/>
          <w:szCs w:val="21"/>
        </w:rPr>
        <w:t>事件和事故工况下，运行团队的组织安排应为主控操纵员岗位建立纵深防御屏障，在为其提供协助的同时，确保操纵员能从容、可靠地执行程序并完成各项操作。</w:t>
      </w:r>
    </w:p>
    <w:p w14:paraId="0EEE6040" w14:textId="77777777" w:rsidR="008F6B68" w:rsidRDefault="00000000">
      <w:pPr>
        <w:pStyle w:val="aff9"/>
        <w:rPr>
          <w:szCs w:val="21"/>
        </w:rPr>
      </w:pPr>
      <w:r>
        <w:rPr>
          <w:rFonts w:hint="eastAsia"/>
          <w:szCs w:val="21"/>
        </w:rPr>
        <w:t>当主控操纵员控制机组偏离事故规程目标时，值长、安工、协调员对操纵员岗位的干预是必须的且必要的，前提是必须保证指令正确，具体如下：在内容上，确保信息是有用的且可靠的；在目标上，确保要求执行的行动是必须的；在时间安排上，确保干预指令考虑了接受者的程序执行节奏。同时，正确的干预还体现在如下几方面：一是注意现场人员的安全；二是保持主控室的严肃性，在合适时机进行沟通和通知；三是要将工作负荷展平分担；四是要寻求外部支持以解决问题。</w:t>
      </w:r>
    </w:p>
    <w:p w14:paraId="69EF3237" w14:textId="77777777" w:rsidR="008F6B68" w:rsidRDefault="00000000">
      <w:pPr>
        <w:pStyle w:val="afff5"/>
      </w:pPr>
      <w:bookmarkStart w:id="166" w:name="_Toc3512"/>
      <w:bookmarkStart w:id="167" w:name="_Toc22391"/>
      <w:r>
        <w:rPr>
          <w:rFonts w:hint="eastAsia"/>
        </w:rPr>
        <w:t>8.6严重事故接口</w:t>
      </w:r>
      <w:bookmarkEnd w:id="166"/>
      <w:bookmarkEnd w:id="167"/>
    </w:p>
    <w:p w14:paraId="18666650" w14:textId="77777777" w:rsidR="008F6B68" w:rsidRDefault="00000000">
      <w:pPr>
        <w:pStyle w:val="aff9"/>
        <w:rPr>
          <w:szCs w:val="21"/>
        </w:rPr>
      </w:pPr>
      <w:r>
        <w:rPr>
          <w:rFonts w:hint="eastAsia"/>
          <w:szCs w:val="21"/>
        </w:rPr>
        <w:t>事故规程的目标是保护堆芯和防止微小事件转换成为严重事件，当机组发生严重事故时，堆芯将出现锆水反应、芯块熔化等现象。当依据事故规程采取的控制手段及策略无法实现规程目标，且机组堆芯状态持续恶化，并达到严重事故工况入口准则时，应放弃当前控制策略，转至执行严重事故工况程序，采取其他更为适当和有效的措施。</w:t>
      </w:r>
    </w:p>
    <w:p w14:paraId="2B6FC7FB" w14:textId="77777777" w:rsidR="008F6B68" w:rsidRDefault="00000000">
      <w:pPr>
        <w:pStyle w:val="aff9"/>
        <w:rPr>
          <w:szCs w:val="21"/>
        </w:rPr>
      </w:pPr>
      <w:r>
        <w:rPr>
          <w:rFonts w:hint="eastAsia"/>
          <w:szCs w:val="21"/>
        </w:rPr>
        <w:t>进入严重事故的入口准则：基于堆芯出口热电偶的温度大于表明堆芯损坏的整定值时并且堆芯冷却措施失败；基于乏燃料水池液位持续低于整定值并且乏燃料冷却措施失败；安全壳放射性超过阈值。</w:t>
      </w:r>
    </w:p>
    <w:p w14:paraId="7A57B582" w14:textId="77777777" w:rsidR="008F6B68" w:rsidRDefault="00000000">
      <w:pPr>
        <w:pStyle w:val="a4"/>
        <w:rPr>
          <w:color w:val="000000"/>
          <w:szCs w:val="21"/>
        </w:rPr>
      </w:pPr>
      <w:bookmarkStart w:id="168" w:name="_Toc24861"/>
      <w:bookmarkStart w:id="169" w:name="_Toc4695"/>
      <w:bookmarkStart w:id="170" w:name="_Toc16685"/>
      <w:bookmarkStart w:id="171" w:name="_Toc18491"/>
      <w:r>
        <w:rPr>
          <w:rFonts w:hint="eastAsia"/>
          <w:color w:val="000000"/>
          <w:szCs w:val="21"/>
        </w:rPr>
        <w:t>停堆工况下</w:t>
      </w:r>
      <w:r>
        <w:rPr>
          <w:rFonts w:hint="eastAsia"/>
        </w:rPr>
        <w:t>一回路源项及辐射分区</w:t>
      </w:r>
      <w:bookmarkEnd w:id="168"/>
      <w:bookmarkEnd w:id="169"/>
      <w:bookmarkEnd w:id="170"/>
      <w:bookmarkEnd w:id="171"/>
    </w:p>
    <w:p w14:paraId="11DB2774" w14:textId="77777777" w:rsidR="008F6B68" w:rsidRDefault="00000000">
      <w:pPr>
        <w:pStyle w:val="afff5"/>
      </w:pPr>
      <w:bookmarkStart w:id="172" w:name="_Toc1714"/>
      <w:bookmarkStart w:id="173" w:name="_Toc20627"/>
      <w:bookmarkStart w:id="174" w:name="_Toc970"/>
      <w:bookmarkStart w:id="175" w:name="_Toc18849"/>
      <w:r>
        <w:rPr>
          <w:rFonts w:hint="eastAsia"/>
        </w:rPr>
        <w:t>9.1一回路源项</w:t>
      </w:r>
      <w:bookmarkEnd w:id="172"/>
      <w:bookmarkEnd w:id="173"/>
      <w:bookmarkEnd w:id="174"/>
      <w:bookmarkEnd w:id="175"/>
    </w:p>
    <w:p w14:paraId="1F853DEC" w14:textId="77777777" w:rsidR="008F6B68" w:rsidRDefault="00000000">
      <w:pPr>
        <w:pStyle w:val="aff9"/>
        <w:rPr>
          <w:szCs w:val="21"/>
        </w:rPr>
      </w:pPr>
      <w:r>
        <w:rPr>
          <w:rFonts w:hint="eastAsia"/>
          <w:szCs w:val="21"/>
        </w:rPr>
        <w:lastRenderedPageBreak/>
        <w:t>功率运行期间，一回路γ辐射主要来源包括：一回路冷却剂中的O</w:t>
      </w:r>
      <w:r>
        <w:rPr>
          <w:rFonts w:hint="eastAsia"/>
          <w:szCs w:val="21"/>
          <w:vertAlign w:val="superscript"/>
        </w:rPr>
        <w:t>16</w:t>
      </w:r>
      <w:r>
        <w:rPr>
          <w:rFonts w:hint="eastAsia"/>
          <w:szCs w:val="21"/>
        </w:rPr>
        <w:t>流经堆芯时产生O</w:t>
      </w:r>
      <w:r>
        <w:rPr>
          <w:rFonts w:hint="eastAsia"/>
          <w:szCs w:val="21"/>
          <w:vertAlign w:val="superscript"/>
        </w:rPr>
        <w:t>16</w:t>
      </w:r>
      <w:r>
        <w:rPr>
          <w:rFonts w:hint="eastAsia"/>
          <w:szCs w:val="21"/>
        </w:rPr>
        <w:t>（n,p)N</w:t>
      </w:r>
      <w:r>
        <w:rPr>
          <w:rFonts w:hint="eastAsia"/>
          <w:szCs w:val="21"/>
          <w:vertAlign w:val="superscript"/>
        </w:rPr>
        <w:t>16</w:t>
      </w:r>
      <w:r>
        <w:rPr>
          <w:rFonts w:hint="eastAsia"/>
          <w:szCs w:val="21"/>
        </w:rPr>
        <w:t>反应，N</w:t>
      </w:r>
      <w:r>
        <w:rPr>
          <w:rFonts w:hint="eastAsia"/>
          <w:szCs w:val="21"/>
          <w:vertAlign w:val="superscript"/>
        </w:rPr>
        <w:t>16</w:t>
      </w:r>
      <w:r>
        <w:rPr>
          <w:rFonts w:hint="eastAsia"/>
          <w:szCs w:val="21"/>
        </w:rPr>
        <w:t>放出高能γ辐射；当有燃料包壳破损时，部分裂变产物会进入一回路冷却剂中，产生裂变产物的γ辐射；堆芯构件被活化的活化产物和堆芯以外一回路设备上的“杂质”流经堆芯时被活化的腐蚀产物所产生的γ辐射，这部分物质以“溶解-沉积”的动态平衡形式存在于一回路系统中。</w:t>
      </w:r>
    </w:p>
    <w:p w14:paraId="55A543BA" w14:textId="77777777" w:rsidR="008F6B68" w:rsidRDefault="00000000">
      <w:pPr>
        <w:pStyle w:val="aff9"/>
        <w:rPr>
          <w:szCs w:val="21"/>
        </w:rPr>
      </w:pPr>
      <w:r>
        <w:rPr>
          <w:rFonts w:hint="eastAsia"/>
          <w:szCs w:val="21"/>
        </w:rPr>
        <w:t>停堆后，一回路γ辐射主要来源包括：机组停堆以后，中子辐射和N</w:t>
      </w:r>
      <w:r>
        <w:rPr>
          <w:rFonts w:hint="eastAsia"/>
          <w:szCs w:val="21"/>
          <w:vertAlign w:val="superscript"/>
        </w:rPr>
        <w:t>16</w:t>
      </w:r>
      <w:r>
        <w:rPr>
          <w:rFonts w:hint="eastAsia"/>
          <w:szCs w:val="21"/>
        </w:rPr>
        <w:t>的高能γ辐射会自动减弱到可以忽略不计的程度，因此，停堆过程无需采取特殊的控制措施；停堆过程裂变产物进入一回路冷却剂中的量与燃料包壳的破损程度有关；停堆过程中，一回路冷却剂中物理化学特性的改变、硼化过程中的PH值下降、冷却过程中的温度下降均促使活化产物溶解度增加，活化产物以离子态和原子态进入一回路冷却剂中。</w:t>
      </w:r>
    </w:p>
    <w:p w14:paraId="40240ADD" w14:textId="77777777" w:rsidR="008F6B68" w:rsidRDefault="00000000">
      <w:pPr>
        <w:pStyle w:val="aff9"/>
        <w:rPr>
          <w:szCs w:val="21"/>
        </w:rPr>
      </w:pPr>
      <w:r>
        <w:rPr>
          <w:rFonts w:hint="eastAsia"/>
          <w:szCs w:val="21"/>
        </w:rPr>
        <w:t>EPR系列机组为控制一回路源项，在机组解列前采取多种措施手段来控制一环路源项。机组解列前需先更换RCV除盐床（除锂）及RCV过滤器，并对DWN/EBA送排风机及碘回路进行预防性维修；解列前30天对IRWST进行净化以满足化学指标，并投入第二列高压减压站和第二台上充泵以及投运大流量净化，解列前14天对一回路进行排氚，减少一回路氚含量；解列前9天启动EBA小流量净化单元，对HRA厂房进行净化，解列前3天投入一回路大流量除气管线并在离开热停平台后启动TEP4进行一回路除气。</w:t>
      </w:r>
    </w:p>
    <w:p w14:paraId="41C1A763" w14:textId="77777777" w:rsidR="008F6B68" w:rsidRDefault="00000000">
      <w:pPr>
        <w:pStyle w:val="afff5"/>
      </w:pPr>
      <w:bookmarkStart w:id="176" w:name="_Toc14742"/>
      <w:bookmarkStart w:id="177" w:name="_Toc5576"/>
      <w:bookmarkStart w:id="178" w:name="_Toc11383"/>
      <w:bookmarkStart w:id="179" w:name="_Toc2809"/>
      <w:r>
        <w:rPr>
          <w:rFonts w:hint="eastAsia"/>
        </w:rPr>
        <w:t>9.2停堆工况下反应堆厂房辐射分区</w:t>
      </w:r>
      <w:bookmarkEnd w:id="176"/>
      <w:bookmarkEnd w:id="177"/>
      <w:bookmarkEnd w:id="178"/>
      <w:bookmarkEnd w:id="179"/>
    </w:p>
    <w:p w14:paraId="3D3F5868" w14:textId="77777777" w:rsidR="008F6B68" w:rsidRDefault="00000000">
      <w:pPr>
        <w:pStyle w:val="aff9"/>
        <w:rPr>
          <w:szCs w:val="21"/>
        </w:rPr>
      </w:pPr>
      <w:r>
        <w:rPr>
          <w:rFonts w:hint="eastAsia"/>
          <w:szCs w:val="21"/>
        </w:rPr>
        <w:t>当机组从功率运行过渡到停堆状态的过程中，反应堆厂房内不同区域的辐射水平与正常运行时相比均会发生较大变化。</w:t>
      </w:r>
    </w:p>
    <w:p w14:paraId="422F66A5" w14:textId="77777777" w:rsidR="008F6B68" w:rsidRDefault="00000000">
      <w:pPr>
        <w:pStyle w:val="aff9"/>
        <w:rPr>
          <w:szCs w:val="21"/>
        </w:rPr>
      </w:pPr>
      <w:r>
        <w:rPr>
          <w:rFonts w:hint="eastAsia"/>
          <w:szCs w:val="21"/>
        </w:rPr>
        <w:t>针对存在反应堆厂房内辐射分区需求且具备辐射分区条件的机组停堆，可参照大修机组做法重新进行反应堆厂房辐射分区，由辐射防护人员进入反应堆厂房进行辐射水平和污染测量，测量结果作为辐射分区调整和降级的依据。由于设备及管道源项变化和腐蚀产物沉积等因素难以通过理论计算精确分析，因此，停堆工况下反应堆厂房的辐射分区须依据厂房内实测辐射剂量率水平，并按照工程设计的分区原则重新划分。</w:t>
      </w:r>
    </w:p>
    <w:p w14:paraId="2F81B21E" w14:textId="77777777" w:rsidR="008F6B68" w:rsidRDefault="00000000">
      <w:pPr>
        <w:pStyle w:val="aff9"/>
        <w:rPr>
          <w:szCs w:val="21"/>
        </w:rPr>
      </w:pPr>
      <w:r>
        <w:rPr>
          <w:rFonts w:hint="eastAsia"/>
          <w:szCs w:val="21"/>
        </w:rPr>
        <w:t>停堆工况下，如有辐射分区的需求且具备辐射分区条件，可参照大修辐射分区的基本原则进行：</w:t>
      </w:r>
    </w:p>
    <w:p w14:paraId="1D9AEB23" w14:textId="77777777" w:rsidR="008F6B68" w:rsidRDefault="00000000">
      <w:pPr>
        <w:pStyle w:val="aff9"/>
        <w:numPr>
          <w:ilvl w:val="0"/>
          <w:numId w:val="25"/>
        </w:numPr>
        <w:tabs>
          <w:tab w:val="clear" w:pos="420"/>
          <w:tab w:val="clear" w:pos="4201"/>
        </w:tabs>
        <w:ind w:left="840" w:firstLine="420"/>
        <w:jc w:val="left"/>
        <w:rPr>
          <w:szCs w:val="21"/>
          <w:lang w:bidi="ar"/>
        </w:rPr>
      </w:pPr>
      <w:r>
        <w:rPr>
          <w:szCs w:val="21"/>
          <w:lang w:bidi="ar"/>
        </w:rPr>
        <w:t>在机组停堆后，辐射防护人员进入反应堆厂房测得厂房内的实际剂量率水平；</w:t>
      </w:r>
    </w:p>
    <w:p w14:paraId="5B3B6711" w14:textId="77777777" w:rsidR="008F6B68" w:rsidRDefault="00000000">
      <w:pPr>
        <w:pStyle w:val="aff9"/>
        <w:numPr>
          <w:ilvl w:val="0"/>
          <w:numId w:val="25"/>
        </w:numPr>
        <w:tabs>
          <w:tab w:val="clear" w:pos="420"/>
          <w:tab w:val="clear" w:pos="4201"/>
        </w:tabs>
        <w:ind w:left="840" w:firstLine="420"/>
        <w:jc w:val="left"/>
        <w:rPr>
          <w:szCs w:val="21"/>
          <w:lang w:bidi="ar"/>
        </w:rPr>
      </w:pPr>
      <w:r>
        <w:rPr>
          <w:szCs w:val="21"/>
          <w:lang w:bidi="ar"/>
        </w:rPr>
        <w:t>综合考虑实测数据、可能存在的潜在辐射风险和停堆后准备开展检修活动的影响等因素，按照辐射分区设计原则，对反应堆厂房不同区域进行重新分区；</w:t>
      </w:r>
    </w:p>
    <w:p w14:paraId="10EDF0B6" w14:textId="77777777" w:rsidR="008F6B68" w:rsidRDefault="00000000">
      <w:pPr>
        <w:pStyle w:val="aff9"/>
        <w:numPr>
          <w:ilvl w:val="0"/>
          <w:numId w:val="25"/>
        </w:numPr>
        <w:tabs>
          <w:tab w:val="clear" w:pos="420"/>
          <w:tab w:val="clear" w:pos="4201"/>
        </w:tabs>
        <w:ind w:left="840" w:firstLine="420"/>
        <w:jc w:val="left"/>
        <w:rPr>
          <w:szCs w:val="21"/>
          <w:lang w:bidi="ar"/>
        </w:rPr>
      </w:pPr>
      <w:r>
        <w:rPr>
          <w:szCs w:val="21"/>
          <w:lang w:bidi="ar"/>
        </w:rPr>
        <w:t>分析实测数据时，与历史数据进行对比，如发现有异常，进一步分析导致异常的原因、评估后果以及制定相应的应对措施；</w:t>
      </w:r>
    </w:p>
    <w:p w14:paraId="1338416C" w14:textId="77777777" w:rsidR="008F6B68" w:rsidRDefault="00000000">
      <w:pPr>
        <w:pStyle w:val="aff9"/>
        <w:numPr>
          <w:ilvl w:val="0"/>
          <w:numId w:val="25"/>
        </w:numPr>
        <w:tabs>
          <w:tab w:val="clear" w:pos="420"/>
          <w:tab w:val="clear" w:pos="4201"/>
        </w:tabs>
        <w:ind w:left="840" w:firstLine="420"/>
        <w:jc w:val="left"/>
        <w:rPr>
          <w:szCs w:val="21"/>
          <w:lang w:bidi="ar"/>
        </w:rPr>
      </w:pPr>
      <w:r>
        <w:rPr>
          <w:szCs w:val="21"/>
          <w:lang w:bidi="ar"/>
        </w:rPr>
        <w:t>分区完成后张贴分区信息牌，并根据辐射分区进行控制。</w:t>
      </w:r>
    </w:p>
    <w:p w14:paraId="703294C3" w14:textId="77777777" w:rsidR="008F6B68" w:rsidRDefault="00000000">
      <w:pPr>
        <w:pStyle w:val="a4"/>
        <w:rPr>
          <w:color w:val="000000"/>
          <w:szCs w:val="21"/>
        </w:rPr>
      </w:pPr>
      <w:bookmarkStart w:id="180" w:name="_Toc27952"/>
      <w:bookmarkStart w:id="181" w:name="_Toc32377"/>
      <w:bookmarkStart w:id="182" w:name="_Toc20880"/>
      <w:bookmarkStart w:id="183" w:name="_Toc21733"/>
      <w:r>
        <w:rPr>
          <w:rFonts w:hint="eastAsia"/>
          <w:color w:val="000000"/>
          <w:szCs w:val="21"/>
        </w:rPr>
        <w:t>反应堆自然循环</w:t>
      </w:r>
      <w:bookmarkEnd w:id="180"/>
      <w:bookmarkEnd w:id="181"/>
      <w:bookmarkEnd w:id="182"/>
      <w:bookmarkEnd w:id="183"/>
    </w:p>
    <w:p w14:paraId="5F81F672" w14:textId="77777777" w:rsidR="008F6B68" w:rsidRDefault="00000000">
      <w:pPr>
        <w:pStyle w:val="afff5"/>
      </w:pPr>
      <w:bookmarkStart w:id="184" w:name="_Toc2053"/>
      <w:bookmarkStart w:id="185" w:name="_Toc12629"/>
      <w:bookmarkStart w:id="186" w:name="_Toc17015"/>
      <w:bookmarkStart w:id="187" w:name="_Toc9191"/>
      <w:r>
        <w:rPr>
          <w:rFonts w:hint="eastAsia"/>
        </w:rPr>
        <w:t>10.1自然循环的意义</w:t>
      </w:r>
      <w:bookmarkEnd w:id="184"/>
      <w:bookmarkEnd w:id="185"/>
      <w:bookmarkEnd w:id="186"/>
      <w:bookmarkEnd w:id="187"/>
    </w:p>
    <w:p w14:paraId="17D86C20" w14:textId="77777777" w:rsidR="008F6B68" w:rsidRDefault="00000000">
      <w:pPr>
        <w:pStyle w:val="aff9"/>
        <w:rPr>
          <w:szCs w:val="21"/>
        </w:rPr>
      </w:pPr>
      <w:r>
        <w:rPr>
          <w:rFonts w:hint="eastAsia"/>
          <w:szCs w:val="21"/>
        </w:rPr>
        <w:t>反应堆的自然循环运行指在反应堆全部主泵停运的情况下，依靠环路自然循环通过蒸汽发生器带出主系统的热量。当核电厂发生一回路主泵全停事故丧失强迫循环时，例如主厂外电源丧失事故等，此时只能通过反应堆的自然循环导出主系统的热量，并将反应堆带到相对安全的后备状态。</w:t>
      </w:r>
    </w:p>
    <w:p w14:paraId="64B8D300" w14:textId="77777777" w:rsidR="008F6B68" w:rsidRDefault="00000000">
      <w:pPr>
        <w:pStyle w:val="aff9"/>
        <w:rPr>
          <w:szCs w:val="21"/>
        </w:rPr>
      </w:pPr>
      <w:r>
        <w:rPr>
          <w:rFonts w:hint="eastAsia"/>
          <w:szCs w:val="21"/>
        </w:rPr>
        <w:lastRenderedPageBreak/>
        <w:t>对于主厂外电源失去导致主泵停运而丧失强迫循环，其最大的核安全风险在于事故开始阶段，主泵失电导致主回路循环流量下降，而此时的反应堆停堆保护尚未来得及动作，堆芯产生的热量来不及导出而存在偏离泡核沸腾风险。在反应堆设计阶段的事故分析中已充分考虑该风险，只要满足主泵惰转流量设计曲线，则堆芯不会出现泡核沸腾。</w:t>
      </w:r>
    </w:p>
    <w:p w14:paraId="21839CDD" w14:textId="77777777" w:rsidR="008F6B68" w:rsidRDefault="00000000">
      <w:pPr>
        <w:pStyle w:val="aff9"/>
        <w:rPr>
          <w:szCs w:val="21"/>
        </w:rPr>
      </w:pPr>
      <w:r>
        <w:rPr>
          <w:rFonts w:hint="eastAsia"/>
          <w:szCs w:val="21"/>
        </w:rPr>
        <w:t>根据事故起因的不同，所选择的运行策略亦有所不同。操纵员确认反应堆紧急停堆及自动保护动作后，自然循环的运行策略基本可分为两类：将机组稳定在当前运行参数，或以一定的降温、降压速率后撤至适当的后备模式。</w:t>
      </w:r>
    </w:p>
    <w:p w14:paraId="51259969" w14:textId="77777777" w:rsidR="008F6B68" w:rsidRDefault="00000000">
      <w:pPr>
        <w:pStyle w:val="afff5"/>
      </w:pPr>
      <w:bookmarkStart w:id="188" w:name="_Toc24458"/>
      <w:bookmarkStart w:id="189" w:name="_Toc1864"/>
      <w:bookmarkStart w:id="190" w:name="_Toc74"/>
      <w:bookmarkStart w:id="191" w:name="_Toc13230"/>
      <w:r>
        <w:rPr>
          <w:rFonts w:hint="eastAsia"/>
        </w:rPr>
        <w:t>10.2自然循环的形成判断</w:t>
      </w:r>
      <w:bookmarkEnd w:id="188"/>
      <w:bookmarkEnd w:id="189"/>
      <w:bookmarkEnd w:id="190"/>
      <w:bookmarkEnd w:id="191"/>
    </w:p>
    <w:p w14:paraId="2A7B23CB" w14:textId="77777777" w:rsidR="008F6B68" w:rsidRDefault="00000000">
      <w:pPr>
        <w:pStyle w:val="aff9"/>
        <w:rPr>
          <w:szCs w:val="21"/>
        </w:rPr>
      </w:pPr>
      <w:r>
        <w:rPr>
          <w:rFonts w:hint="eastAsia"/>
          <w:szCs w:val="21"/>
        </w:rPr>
        <w:t>若堆芯出口温度稳定或下降，且反应堆热段温度高于冷段温度（存在正向温差），同时冷、热段温度保持稳定或呈同步下降趋势，则可判断自然循环已建立。</w:t>
      </w:r>
    </w:p>
    <w:p w14:paraId="5118E3A2" w14:textId="77777777" w:rsidR="008F6B68" w:rsidRDefault="00000000">
      <w:pPr>
        <w:pStyle w:val="aff9"/>
        <w:rPr>
          <w:szCs w:val="21"/>
        </w:rPr>
      </w:pPr>
      <w:r>
        <w:rPr>
          <w:rFonts w:hint="eastAsia"/>
          <w:szCs w:val="21"/>
        </w:rPr>
        <w:t>若堆芯出口温度或反应堆冷段温度上升，表明二回路冷却不足，无法充分带走堆芯余热。此时，应调节主蒸汽旁路排放阀开度，以增强二次侧冷却能力。如果堆芯出口温度稳定，反应堆冷段的温度保持不变，表示二回路的冷却刚好带走堆芯的余热。如果堆芯的出口温度下降，冷热段的温度以相同的趋势下降，表示二回路的冷却不仅带走了全部堆芯余热，同时带走了一回路系统的设备潜热，此时可通过调节主蒸汽旁路排放阀阀门开度来调整一回路温度下降速率。</w:t>
      </w:r>
    </w:p>
    <w:p w14:paraId="42E1A33B" w14:textId="77777777" w:rsidR="008F6B68" w:rsidRDefault="00000000">
      <w:pPr>
        <w:pStyle w:val="aff9"/>
        <w:rPr>
          <w:szCs w:val="21"/>
        </w:rPr>
      </w:pPr>
      <w:r>
        <w:rPr>
          <w:rFonts w:hint="eastAsia"/>
          <w:szCs w:val="21"/>
        </w:rPr>
        <w:t>对于AP1000机组，在没有主泵运行且PRHR处于备用状态时，操纵员应监视系统工况来证实自然循环流量已建立。自然循环工况指示包括RCS过冷度，堆芯出口热电偶温度稳定或正在下降，RCS热段温度稳定或正在下降、完好SG压力稳定或正在下降、完好SG压力稳定在RCS冷段温度对应的饱和压力。通过指导操纵员增加TBS(汽轮机旁路排放系统)至凝汽器放至凝汽器和/或增加SG PORV（大气释放阀） 蒸汽排放至大气蒸汽流量来降低SG二次侧压力，增强或建立自然循环。评估RCS 温度响应时应该考虑二回路电厂响应情况。如果蒸汽压力由于初始的停堆冷却而低于控制设定值，并且恢复到无负荷值，那么RCS温度上升是预期的。只有在RCS 和热电偶温度到达无负荷值后再温度上升才应被考虑为自然循环冷却不充分。</w:t>
      </w:r>
    </w:p>
    <w:p w14:paraId="653FDF0E" w14:textId="77777777" w:rsidR="008F6B68" w:rsidRDefault="00000000">
      <w:pPr>
        <w:pStyle w:val="afff5"/>
      </w:pPr>
      <w:bookmarkStart w:id="192" w:name="_Toc7794"/>
      <w:bookmarkStart w:id="193" w:name="_Toc908"/>
      <w:bookmarkStart w:id="194" w:name="_Toc31825"/>
      <w:bookmarkStart w:id="195" w:name="_Toc2087"/>
      <w:r>
        <w:rPr>
          <w:rFonts w:hint="eastAsia"/>
        </w:rPr>
        <w:t>10.3自然循环的机组控制</w:t>
      </w:r>
      <w:bookmarkEnd w:id="192"/>
      <w:bookmarkEnd w:id="193"/>
      <w:bookmarkEnd w:id="194"/>
      <w:bookmarkEnd w:id="195"/>
    </w:p>
    <w:p w14:paraId="5E5D0702" w14:textId="77777777" w:rsidR="008F6B68" w:rsidRDefault="00000000">
      <w:pPr>
        <w:pStyle w:val="aff9"/>
        <w:numPr>
          <w:ilvl w:val="255"/>
          <w:numId w:val="0"/>
        </w:numPr>
        <w:tabs>
          <w:tab w:val="clear" w:pos="4201"/>
          <w:tab w:val="clear" w:pos="9298"/>
        </w:tabs>
        <w:jc w:val="left"/>
        <w:rPr>
          <w:szCs w:val="21"/>
        </w:rPr>
      </w:pPr>
      <w:r>
        <w:rPr>
          <w:rFonts w:hint="eastAsia"/>
          <w:kern w:val="2"/>
          <w:szCs w:val="21"/>
        </w:rPr>
        <w:t>10.3.1</w:t>
      </w:r>
      <w:r>
        <w:rPr>
          <w:rFonts w:hint="eastAsia"/>
          <w:szCs w:val="21"/>
        </w:rPr>
        <w:t>自然循环的初期控制</w:t>
      </w:r>
    </w:p>
    <w:p w14:paraId="31E2B949" w14:textId="77777777" w:rsidR="008F6B68" w:rsidRDefault="00000000">
      <w:pPr>
        <w:pStyle w:val="aff9"/>
        <w:rPr>
          <w:szCs w:val="21"/>
        </w:rPr>
      </w:pPr>
      <w:r>
        <w:rPr>
          <w:rFonts w:hint="eastAsia"/>
          <w:szCs w:val="21"/>
        </w:rPr>
        <w:t>机组功率运行状态失去全部主泵而导致反应堆紧急停堆后，由于反应堆紧急停堆后堆芯产热量减少、辅助给水系统启动后产生冷水效应、以及部分二回路系统设备用汽，将在反应堆紧急停堆的初期出现一回路过冷、一回路温度和压力下降、蒸汽发生器的压力和水位下降的现象，特别是对于冷堆芯状态，一回路过冷效应犹为明显。因此，在自然循环初期，主控操纵员应切除二回路不必要的蒸汽负荷，以减少过冷效应。度过停堆初期的过冷阶段后，因堆芯余热及较高的主蒸汽旁路排放阀开启定值，堆芯将逐渐向过热状态过渡。此时，可将主蒸汽旁路排放阀的开启定值调节至当前二回路压力或标准热停堆压力，以稳定一回路温度。</w:t>
      </w:r>
    </w:p>
    <w:p w14:paraId="61EAEC06" w14:textId="77777777" w:rsidR="008F6B68" w:rsidRDefault="00000000">
      <w:pPr>
        <w:pStyle w:val="aff9"/>
        <w:rPr>
          <w:szCs w:val="21"/>
        </w:rPr>
      </w:pPr>
      <w:r>
        <w:rPr>
          <w:rFonts w:hint="eastAsia"/>
          <w:szCs w:val="21"/>
        </w:rPr>
        <w:t>在自然循环初期，应充分利用主泵惰转流量促进自然循环的建立。在此阶段，主控操纵员应快速准确完成事故诊断和自动保护动作确认，清晰认识当前堆芯的具体状态，清楚存在一回路系统过冷导致安注的风险，及时切除二回路不必要的热负荷，并加强对机组状态的监测。</w:t>
      </w:r>
    </w:p>
    <w:p w14:paraId="0C6D9F77" w14:textId="77777777" w:rsidR="008F6B68" w:rsidRDefault="00000000">
      <w:pPr>
        <w:pStyle w:val="aff9"/>
        <w:rPr>
          <w:szCs w:val="21"/>
        </w:rPr>
      </w:pPr>
      <w:r>
        <w:rPr>
          <w:rFonts w:hint="eastAsia"/>
          <w:szCs w:val="21"/>
        </w:rPr>
        <w:t>AP1000机组在自然循环初期阶段响应过冷效应的主要措施有：切除二路不必要的蒸汽负荷，主要为辅助蒸汽及汽轮机轴封由主蒸汽切换至辅助锅炉或其它机组供汽；如果RCS冷段温度无法稳定或趋于目标值时，可以通过关闭主蒸汽隔离阀隔离二次侧用汽、在允许范围内调小启动给水流量来加快RCS冷段温度稳定或趋于目标值；如果SGS排污流未自动隔离，那么调小或停止BDS(蒸汽发生器排污系统)。</w:t>
      </w:r>
    </w:p>
    <w:p w14:paraId="648B4051" w14:textId="77777777" w:rsidR="008F6B68" w:rsidRDefault="00000000">
      <w:pPr>
        <w:pStyle w:val="aff9"/>
        <w:rPr>
          <w:szCs w:val="21"/>
        </w:rPr>
      </w:pPr>
      <w:r>
        <w:rPr>
          <w:rFonts w:hint="eastAsia"/>
          <w:szCs w:val="21"/>
        </w:rPr>
        <w:t>EPR机组在自然循环初期阶段需尽快将二回路蒸汽用户（ADG/CET)切换至SVA供气，完成故障蒸汽发生器隔离后，并根据一回路状态按照不同冷却速率进行二回路冷却，并在冷却过程中根据一回路状态调</w:t>
      </w:r>
      <w:r>
        <w:rPr>
          <w:rFonts w:hint="eastAsia"/>
          <w:szCs w:val="21"/>
        </w:rPr>
        <w:lastRenderedPageBreak/>
        <w:t>整二回路的冷却速率。因此在事故工况下或机组解列前需启动XCA电锅炉，正常下行前30天需对XCA机型系统消缺，解列前7天逐列验证三台XCA锅炉可用，解列前三天投运SVA系统，保证二回路蒸汽用户用汽需求。</w:t>
      </w:r>
    </w:p>
    <w:p w14:paraId="4D2F4415" w14:textId="77777777" w:rsidR="008F6B68" w:rsidRDefault="00000000">
      <w:pPr>
        <w:pStyle w:val="aff9"/>
        <w:numPr>
          <w:ilvl w:val="255"/>
          <w:numId w:val="0"/>
        </w:numPr>
        <w:tabs>
          <w:tab w:val="clear" w:pos="4201"/>
          <w:tab w:val="clear" w:pos="9298"/>
        </w:tabs>
        <w:jc w:val="left"/>
        <w:rPr>
          <w:szCs w:val="21"/>
        </w:rPr>
      </w:pPr>
      <w:r>
        <w:rPr>
          <w:rFonts w:hint="eastAsia"/>
          <w:szCs w:val="21"/>
        </w:rPr>
        <w:t>10.3.2稳定机组</w:t>
      </w:r>
    </w:p>
    <w:p w14:paraId="2953BF9C" w14:textId="77777777" w:rsidR="008F6B68" w:rsidRDefault="00000000">
      <w:pPr>
        <w:pStyle w:val="aff9"/>
        <w:rPr>
          <w:szCs w:val="21"/>
        </w:rPr>
      </w:pPr>
      <w:r>
        <w:rPr>
          <w:rFonts w:hint="eastAsia"/>
          <w:szCs w:val="21"/>
        </w:rPr>
        <w:t>事故诊断和自动保护动作确认完毕后，在明确强迫循环可在短时间内恢复时，原则上需控制自然循环带出堆芯内的剩余功率，使反应堆的温度、压力、稳压器水位和蒸汽发生器水位稳定在当前值，控制堆芯出口温度小于重启主泵要求值后重新启动主泵恢复强迫循环。</w:t>
      </w:r>
    </w:p>
    <w:p w14:paraId="0CEA7F51" w14:textId="77777777" w:rsidR="008F6B68" w:rsidRDefault="00000000">
      <w:pPr>
        <w:pStyle w:val="aff9"/>
        <w:rPr>
          <w:szCs w:val="21"/>
        </w:rPr>
      </w:pPr>
      <w:r>
        <w:rPr>
          <w:rFonts w:hint="eastAsia"/>
          <w:szCs w:val="21"/>
        </w:rPr>
        <w:t>针对同一台机组，堆芯的剩余功率由自然循环流量进行匹配带出热量。因此，主控操纵员需重点关注：监控堆芯的冷热状态，掌握堆芯剩余功率的大小和其停堆后随时间变化的规律；调整主蒸汽旁路排放阀阀门压力开启定值到反应堆冷段温度对应的饱和压力稳定堆芯；加强运行监控，确保自然循环正确建立和正常运行，并防止超出许可运行区域。</w:t>
      </w:r>
    </w:p>
    <w:p w14:paraId="1B231062" w14:textId="77777777" w:rsidR="008F6B68" w:rsidRDefault="00000000">
      <w:pPr>
        <w:pStyle w:val="aff9"/>
        <w:rPr>
          <w:szCs w:val="21"/>
        </w:rPr>
      </w:pPr>
      <w:r>
        <w:rPr>
          <w:rFonts w:hint="eastAsia"/>
          <w:szCs w:val="21"/>
        </w:rPr>
        <w:t>对于AP1000机组，当堆芯衰变热≥一回路自然散热+二回路自然散热+TBS和或PORV导热量时，主控时操纵员需要关注TBS和或PORV相关阀门自动响应情况；当堆芯衰变热＜一回路自然散热+二回路自然散热时，TBS和或PORV将会全关，此时应关闭主蒸汽隔离阀，减少二回路自然散热；当堆芯衰变热＜一回路自然散热此时RCS温度将会逐步下降，此时应根据规程做好自然循环降温后撤工作。在整个自然循环过程中应始终持续准备恢复至少一环一台主泵运行以建立强迫循环。</w:t>
      </w:r>
    </w:p>
    <w:p w14:paraId="2B383DCB" w14:textId="77777777" w:rsidR="008F6B68" w:rsidRDefault="00000000">
      <w:pPr>
        <w:pStyle w:val="aff9"/>
        <w:rPr>
          <w:szCs w:val="21"/>
        </w:rPr>
      </w:pPr>
      <w:r>
        <w:rPr>
          <w:rFonts w:hint="eastAsia"/>
          <w:szCs w:val="21"/>
        </w:rPr>
        <w:t>对于EPR系列机组，通过RBS/RCV/RIS维持一回路压力、水位在要求范围内，投入GCT/VDA进行冷却并辅助建立自然循环，通过调节GCT/VDA降温速率来控制一回路温度，逐步后撤至RIS-RHR可以连接的状态，最终通过连接RIS-RHR导出一回路余热。</w:t>
      </w:r>
    </w:p>
    <w:p w14:paraId="27A76572" w14:textId="77777777" w:rsidR="008F6B68" w:rsidRDefault="00000000">
      <w:pPr>
        <w:pStyle w:val="aff9"/>
        <w:numPr>
          <w:ilvl w:val="255"/>
          <w:numId w:val="0"/>
        </w:numPr>
        <w:tabs>
          <w:tab w:val="clear" w:pos="4201"/>
          <w:tab w:val="clear" w:pos="9298"/>
        </w:tabs>
        <w:jc w:val="left"/>
        <w:rPr>
          <w:szCs w:val="21"/>
        </w:rPr>
      </w:pPr>
      <w:r>
        <w:rPr>
          <w:rFonts w:hint="eastAsia"/>
          <w:szCs w:val="21"/>
        </w:rPr>
        <w:t>10.3.3通过自然循环降温后撤</w:t>
      </w:r>
    </w:p>
    <w:p w14:paraId="5BEB91F1" w14:textId="77777777" w:rsidR="008F6B68" w:rsidRDefault="00000000">
      <w:pPr>
        <w:pStyle w:val="aff9"/>
        <w:rPr>
          <w:szCs w:val="21"/>
        </w:rPr>
      </w:pPr>
      <w:r>
        <w:rPr>
          <w:rFonts w:hint="eastAsia"/>
          <w:szCs w:val="21"/>
        </w:rPr>
        <w:t>在强迫循环不能短时间恢复时，需要通过自然循环将机组后撤到相应的运行模式或后备状态。此时的自然循环需要将堆芯内的剩余功率和一回路设备潜热带出，保持堆芯出口温度以合适的速率下降。通过自然循环降温后撤时，重点关注：</w:t>
      </w:r>
    </w:p>
    <w:p w14:paraId="774AA7FC" w14:textId="77777777" w:rsidR="008F6B68" w:rsidRDefault="00000000">
      <w:pPr>
        <w:pStyle w:val="aff9"/>
        <w:numPr>
          <w:ilvl w:val="0"/>
          <w:numId w:val="26"/>
        </w:numPr>
        <w:tabs>
          <w:tab w:val="clear" w:pos="420"/>
          <w:tab w:val="clear" w:pos="4201"/>
        </w:tabs>
        <w:ind w:left="840" w:firstLine="420"/>
        <w:jc w:val="left"/>
        <w:rPr>
          <w:szCs w:val="21"/>
          <w:lang w:bidi="ar"/>
        </w:rPr>
      </w:pPr>
      <w:r>
        <w:rPr>
          <w:szCs w:val="21"/>
          <w:lang w:bidi="ar"/>
        </w:rPr>
        <w:t>确保运行点在许可运行区域内，特别注意一/二回路的压差限制以保护蒸汽发生器管板，稳压器与一回路之间的温差限制以保护稳压器波动管；</w:t>
      </w:r>
    </w:p>
    <w:p w14:paraId="061B5BCC" w14:textId="77777777" w:rsidR="008F6B68" w:rsidRDefault="00000000">
      <w:pPr>
        <w:pStyle w:val="aff9"/>
        <w:numPr>
          <w:ilvl w:val="0"/>
          <w:numId w:val="26"/>
        </w:numPr>
        <w:tabs>
          <w:tab w:val="clear" w:pos="420"/>
          <w:tab w:val="clear" w:pos="4201"/>
        </w:tabs>
        <w:ind w:left="840" w:firstLine="420"/>
        <w:jc w:val="left"/>
        <w:rPr>
          <w:szCs w:val="21"/>
          <w:lang w:bidi="ar"/>
        </w:rPr>
      </w:pPr>
      <w:r>
        <w:rPr>
          <w:szCs w:val="21"/>
          <w:lang w:bidi="ar"/>
        </w:rPr>
        <w:t>M310系列机组的降温速率不能超过14</w:t>
      </w:r>
      <w:r>
        <w:rPr>
          <w:szCs w:val="21"/>
          <w:lang w:bidi="ar"/>
        </w:rPr>
        <w:t>℃</w:t>
      </w:r>
      <w:r>
        <w:rPr>
          <w:szCs w:val="21"/>
          <w:lang w:bidi="ar"/>
        </w:rPr>
        <w:t>/h，由于失去强迫循环，基本失去压力容器进口处直接流到压力容器上封头内冷却上封头的堆芯旁通流量，压力容器上封头内的冷却剂只能通过控制棒驱动机构冷却风机进行冷却，其最大冷却速率是15</w:t>
      </w:r>
      <w:r>
        <w:rPr>
          <w:szCs w:val="21"/>
          <w:lang w:bidi="ar"/>
        </w:rPr>
        <w:t>℃</w:t>
      </w:r>
      <w:r>
        <w:rPr>
          <w:szCs w:val="21"/>
          <w:lang w:bidi="ar"/>
        </w:rPr>
        <w:t>/H，因此，为防止堆芯上封头的冷却剂汽化，主回路的降温速率不能超过14</w:t>
      </w:r>
      <w:r>
        <w:rPr>
          <w:szCs w:val="21"/>
          <w:lang w:bidi="ar"/>
        </w:rPr>
        <w:t>℃</w:t>
      </w:r>
      <w:r>
        <w:rPr>
          <w:szCs w:val="21"/>
          <w:lang w:bidi="ar"/>
        </w:rPr>
        <w:t>/H。华龙一号系列机组的冷却速率取决于RBS（堆芯应急硼化系统）投运数量或REA是否在最大硼化，与主泵是否停运无关，所以在自然循环工况和强迫循环工况的降温策略一致。</w:t>
      </w:r>
    </w:p>
    <w:p w14:paraId="629D4E4A" w14:textId="77777777" w:rsidR="008F6B68" w:rsidRDefault="00000000">
      <w:pPr>
        <w:pStyle w:val="aff9"/>
        <w:numPr>
          <w:ilvl w:val="0"/>
          <w:numId w:val="26"/>
        </w:numPr>
        <w:tabs>
          <w:tab w:val="clear" w:pos="420"/>
          <w:tab w:val="clear" w:pos="4201"/>
        </w:tabs>
        <w:ind w:left="840" w:firstLine="420"/>
        <w:jc w:val="left"/>
        <w:rPr>
          <w:szCs w:val="21"/>
          <w:lang w:bidi="ar"/>
        </w:rPr>
      </w:pPr>
      <w:r>
        <w:rPr>
          <w:szCs w:val="21"/>
          <w:lang w:bidi="ar"/>
        </w:rPr>
        <w:t>在降温、降压的过程中，为尽量减小辅助喷淋喷头处的温差应力，辅助喷淋最好只投入一次连续使用，因此主控操纵员在加强运行监测的同时，应选择合适的降压策略和时机；</w:t>
      </w:r>
    </w:p>
    <w:p w14:paraId="47D15B07" w14:textId="77777777" w:rsidR="008F6B68" w:rsidRDefault="00000000">
      <w:pPr>
        <w:pStyle w:val="aff9"/>
        <w:numPr>
          <w:ilvl w:val="0"/>
          <w:numId w:val="26"/>
        </w:numPr>
        <w:tabs>
          <w:tab w:val="clear" w:pos="420"/>
          <w:tab w:val="clear" w:pos="4201"/>
        </w:tabs>
        <w:ind w:left="840" w:firstLine="420"/>
        <w:jc w:val="left"/>
        <w:rPr>
          <w:szCs w:val="21"/>
          <w:lang w:bidi="ar"/>
        </w:rPr>
      </w:pPr>
      <w:r>
        <w:rPr>
          <w:szCs w:val="21"/>
          <w:lang w:bidi="ar"/>
        </w:rPr>
        <w:t>在降温降压的过程中，加强对强迫循环恢复的跟踪。</w:t>
      </w:r>
    </w:p>
    <w:p w14:paraId="459DF5D5" w14:textId="77777777" w:rsidR="008F6B68" w:rsidRDefault="00000000">
      <w:pPr>
        <w:pStyle w:val="aff9"/>
        <w:numPr>
          <w:ilvl w:val="0"/>
          <w:numId w:val="26"/>
        </w:numPr>
        <w:tabs>
          <w:tab w:val="clear" w:pos="420"/>
          <w:tab w:val="clear" w:pos="4201"/>
        </w:tabs>
        <w:ind w:left="840" w:firstLine="420"/>
        <w:jc w:val="left"/>
        <w:rPr>
          <w:szCs w:val="21"/>
          <w:lang w:bidi="ar"/>
        </w:rPr>
      </w:pPr>
      <w:r>
        <w:rPr>
          <w:szCs w:val="21"/>
          <w:lang w:bidi="ar"/>
        </w:rPr>
        <w:t>AP1000系列机组通过自然循环降温后撤时，重点关注：</w:t>
      </w:r>
    </w:p>
    <w:p w14:paraId="57ECC17F" w14:textId="77777777" w:rsidR="008F6B68" w:rsidRDefault="00000000">
      <w:pPr>
        <w:pStyle w:val="aff9"/>
        <w:numPr>
          <w:ilvl w:val="0"/>
          <w:numId w:val="26"/>
        </w:numPr>
        <w:tabs>
          <w:tab w:val="clear" w:pos="420"/>
          <w:tab w:val="clear" w:pos="4201"/>
        </w:tabs>
        <w:ind w:left="840" w:firstLine="420"/>
        <w:jc w:val="left"/>
        <w:rPr>
          <w:szCs w:val="21"/>
          <w:lang w:bidi="ar"/>
        </w:rPr>
      </w:pPr>
      <w:r>
        <w:rPr>
          <w:szCs w:val="21"/>
          <w:lang w:bidi="ar"/>
        </w:rPr>
        <w:t>验证完RCS硼浓度满足冷停堆硼浓度后通过排放蒸汽来开始RCS冷却，维持冷却速率小于允许的最大速率28</w:t>
      </w:r>
      <w:r>
        <w:rPr>
          <w:szCs w:val="21"/>
          <w:lang w:bidi="ar"/>
        </w:rPr>
        <w:t>℃</w:t>
      </w:r>
      <w:r>
        <w:rPr>
          <w:szCs w:val="21"/>
          <w:lang w:bidi="ar"/>
        </w:rPr>
        <w:t>/h；</w:t>
      </w:r>
    </w:p>
    <w:p w14:paraId="30C80C2A" w14:textId="77777777" w:rsidR="008F6B68" w:rsidRDefault="00000000">
      <w:pPr>
        <w:pStyle w:val="aff9"/>
        <w:numPr>
          <w:ilvl w:val="0"/>
          <w:numId w:val="26"/>
        </w:numPr>
        <w:tabs>
          <w:tab w:val="clear" w:pos="420"/>
          <w:tab w:val="clear" w:pos="4201"/>
        </w:tabs>
        <w:ind w:left="840" w:firstLine="420"/>
        <w:jc w:val="left"/>
        <w:rPr>
          <w:szCs w:val="21"/>
          <w:lang w:bidi="ar"/>
        </w:rPr>
      </w:pPr>
      <w:r>
        <w:rPr>
          <w:szCs w:val="21"/>
          <w:lang w:bidi="ar"/>
        </w:rPr>
        <w:lastRenderedPageBreak/>
        <w:t>由于RCP未运行，上封头区域可能在RCS降压过程中形成汽腔，这将导致PZR液位快速上升，持续关注CRDM风机运行情况避免或最小化上封头处汽腔的形成，当RCS温度降低至RNS投运条件后，如果CRDM冷却风机已经在运行并冷却反应堆压力容器上封头，可以不继续执行RCS降压操作，如果上封头通过CRDM能动的冷却不可用时，需等待至少27小时才能进行降压操作，以使上封头充分冷却，防止由于降压产生的汽腔导致RNS产生汽蚀；</w:t>
      </w:r>
    </w:p>
    <w:p w14:paraId="058777BC" w14:textId="77777777" w:rsidR="008F6B68" w:rsidRDefault="00000000">
      <w:pPr>
        <w:pStyle w:val="aff9"/>
        <w:numPr>
          <w:ilvl w:val="0"/>
          <w:numId w:val="26"/>
        </w:numPr>
        <w:tabs>
          <w:tab w:val="clear" w:pos="420"/>
          <w:tab w:val="clear" w:pos="4201"/>
        </w:tabs>
        <w:ind w:left="840" w:firstLine="420"/>
        <w:jc w:val="left"/>
        <w:rPr>
          <w:szCs w:val="21"/>
          <w:lang w:bidi="ar"/>
        </w:rPr>
      </w:pPr>
      <w:r>
        <w:rPr>
          <w:szCs w:val="21"/>
          <w:lang w:bidi="ar"/>
        </w:rPr>
        <w:t>应尽可能减少频繁调节辅助喷淋以降低热压力瞬态(推荐保持较小的连续喷淋流稳定降压)。</w:t>
      </w:r>
    </w:p>
    <w:p w14:paraId="39091DEC" w14:textId="77777777" w:rsidR="008F6B68" w:rsidRDefault="00000000">
      <w:pPr>
        <w:pStyle w:val="aff9"/>
        <w:numPr>
          <w:ilvl w:val="255"/>
          <w:numId w:val="0"/>
        </w:numPr>
        <w:tabs>
          <w:tab w:val="clear" w:pos="4201"/>
          <w:tab w:val="center" w:pos="840"/>
        </w:tabs>
        <w:ind w:firstLineChars="200" w:firstLine="420"/>
        <w:rPr>
          <w:rFonts w:hAnsi="宋体" w:cs="宋体" w:hint="eastAsia"/>
          <w:szCs w:val="21"/>
        </w:rPr>
      </w:pPr>
      <w:r>
        <w:rPr>
          <w:rFonts w:hAnsi="宋体" w:cs="宋体" w:hint="eastAsia"/>
          <w:szCs w:val="21"/>
          <w:lang w:bidi="ar"/>
        </w:rPr>
        <w:t>EPR系列机组自然循环降温后撤时，重点关注：</w:t>
      </w:r>
    </w:p>
    <w:p w14:paraId="2DCDAA2C" w14:textId="77777777" w:rsidR="008F6B68" w:rsidRDefault="00000000">
      <w:pPr>
        <w:pStyle w:val="aff9"/>
        <w:numPr>
          <w:ilvl w:val="0"/>
          <w:numId w:val="27"/>
        </w:numPr>
        <w:tabs>
          <w:tab w:val="clear" w:pos="420"/>
          <w:tab w:val="clear" w:pos="4201"/>
        </w:tabs>
        <w:ind w:left="840" w:firstLine="420"/>
        <w:rPr>
          <w:szCs w:val="21"/>
          <w:lang w:bidi="ar"/>
        </w:rPr>
      </w:pPr>
      <w:r>
        <w:rPr>
          <w:szCs w:val="21"/>
          <w:lang w:bidi="ar"/>
        </w:rPr>
        <w:t>根据堆芯硼浓度及PZR水位，按要求冷却速率（50/25/20</w:t>
      </w:r>
      <w:r>
        <w:rPr>
          <w:szCs w:val="21"/>
          <w:lang w:bidi="ar"/>
        </w:rPr>
        <w:t>℃</w:t>
      </w:r>
      <w:r>
        <w:rPr>
          <w:szCs w:val="21"/>
          <w:lang w:bidi="ar"/>
        </w:rPr>
        <w:t>/h或稳定T-RIC），并根据堆芯状态变化进行冷却速率调整；</w:t>
      </w:r>
    </w:p>
    <w:p w14:paraId="46061FBE" w14:textId="77777777" w:rsidR="008F6B68" w:rsidRDefault="00000000">
      <w:pPr>
        <w:pStyle w:val="aff9"/>
        <w:numPr>
          <w:ilvl w:val="0"/>
          <w:numId w:val="27"/>
        </w:numPr>
        <w:tabs>
          <w:tab w:val="clear" w:pos="420"/>
          <w:tab w:val="clear" w:pos="4201"/>
        </w:tabs>
        <w:ind w:left="840" w:firstLine="420"/>
        <w:rPr>
          <w:szCs w:val="21"/>
          <w:lang w:bidi="ar"/>
        </w:rPr>
      </w:pPr>
      <w:r>
        <w:rPr>
          <w:szCs w:val="21"/>
          <w:lang w:bidi="ar"/>
        </w:rPr>
        <w:t>保证</w:t>
      </w:r>
      <w:r>
        <w:rPr>
          <w:szCs w:val="21"/>
          <w:lang w:bidi="ar"/>
        </w:rPr>
        <w:t>Δ</w:t>
      </w:r>
      <w:r>
        <w:rPr>
          <w:szCs w:val="21"/>
          <w:lang w:bidi="ar"/>
        </w:rPr>
        <w:t>Tsat在要求范围内；</w:t>
      </w:r>
    </w:p>
    <w:p w14:paraId="73FC99FB" w14:textId="77777777" w:rsidR="008F6B68" w:rsidRDefault="00000000">
      <w:pPr>
        <w:pStyle w:val="aff9"/>
        <w:numPr>
          <w:ilvl w:val="0"/>
          <w:numId w:val="27"/>
        </w:numPr>
        <w:tabs>
          <w:tab w:val="clear" w:pos="420"/>
          <w:tab w:val="clear" w:pos="4201"/>
        </w:tabs>
        <w:ind w:left="840" w:firstLine="420"/>
        <w:rPr>
          <w:szCs w:val="21"/>
          <w:lang w:bidi="ar"/>
        </w:rPr>
      </w:pPr>
      <w:r>
        <w:rPr>
          <w:szCs w:val="21"/>
          <w:lang w:bidi="ar"/>
        </w:rPr>
        <w:t>维持所有SG水位在宽量程3m以上；</w:t>
      </w:r>
    </w:p>
    <w:p w14:paraId="3CAC29D8" w14:textId="77777777" w:rsidR="008F6B68" w:rsidRDefault="00000000">
      <w:pPr>
        <w:pStyle w:val="aff9"/>
        <w:numPr>
          <w:ilvl w:val="0"/>
          <w:numId w:val="27"/>
        </w:numPr>
        <w:tabs>
          <w:tab w:val="clear" w:pos="420"/>
          <w:tab w:val="clear" w:pos="4201"/>
        </w:tabs>
        <w:ind w:left="840" w:firstLine="420"/>
        <w:rPr>
          <w:szCs w:val="21"/>
          <w:lang w:bidi="ar"/>
        </w:rPr>
      </w:pPr>
      <w:r>
        <w:rPr>
          <w:szCs w:val="21"/>
          <w:lang w:bidi="ar"/>
        </w:rPr>
        <w:t>维持PZR水位在[20%，60%]。</w:t>
      </w:r>
    </w:p>
    <w:p w14:paraId="33CE2075" w14:textId="77777777" w:rsidR="008F6B68" w:rsidRDefault="00000000">
      <w:pPr>
        <w:pStyle w:val="aff9"/>
        <w:numPr>
          <w:ilvl w:val="255"/>
          <w:numId w:val="0"/>
        </w:numPr>
        <w:tabs>
          <w:tab w:val="clear" w:pos="4201"/>
          <w:tab w:val="clear" w:pos="9298"/>
        </w:tabs>
        <w:jc w:val="left"/>
        <w:rPr>
          <w:szCs w:val="21"/>
        </w:rPr>
      </w:pPr>
      <w:r>
        <w:rPr>
          <w:rFonts w:hint="eastAsia"/>
          <w:szCs w:val="21"/>
        </w:rPr>
        <w:t>10.3.4自然循环的压力控制</w:t>
      </w:r>
    </w:p>
    <w:p w14:paraId="05BFEBF1" w14:textId="77777777" w:rsidR="008F6B68" w:rsidRDefault="00000000">
      <w:pPr>
        <w:pStyle w:val="aff9"/>
        <w:rPr>
          <w:szCs w:val="21"/>
        </w:rPr>
      </w:pPr>
      <w:r>
        <w:rPr>
          <w:rFonts w:hint="eastAsia"/>
          <w:szCs w:val="21"/>
        </w:rPr>
        <w:t>由于失去主泵的强迫循环，正常喷淋功能不可用，通过稳压器的活塞效应和辅助喷淋来稳定或降低一回路压力（适用于M310系列机组），或使用辅助喷淋或反应堆自动泄压系统（ADS）第一级阀门进行降压或维持压力稳定（适用于AP1000系列机组），或使用辅助喷淋以及稳压器加热器和PSRV进行压力控制（适用于EPR系列机组）。</w:t>
      </w:r>
    </w:p>
    <w:p w14:paraId="2ECB424F" w14:textId="77777777" w:rsidR="008F6B68" w:rsidRDefault="00000000">
      <w:pPr>
        <w:pStyle w:val="aff9"/>
        <w:rPr>
          <w:szCs w:val="21"/>
        </w:rPr>
      </w:pPr>
      <w:r>
        <w:rPr>
          <w:rFonts w:hint="eastAsia"/>
          <w:szCs w:val="21"/>
        </w:rPr>
        <w:t>使用辅助喷淋来控制一回路的压力，需关注如下原则：严格控制辅助喷淋出口的温度与一回路的温差，否则可能因过大的温差应力造成管道断裂而造成稳压器汽相破口；为尽量减小辅助喷淋喷头处的温差应力，辅助喷淋最好只投入一次连续使用；在投入辅助喷淋时，为避免上充管线继续运行导致“抢水”而影响辅喷降压效果，需停止上充管线的运行。</w:t>
      </w:r>
    </w:p>
    <w:p w14:paraId="46BBAEA9" w14:textId="77777777" w:rsidR="008F6B68" w:rsidRDefault="00000000">
      <w:pPr>
        <w:pStyle w:val="aff9"/>
        <w:numPr>
          <w:ilvl w:val="255"/>
          <w:numId w:val="0"/>
        </w:numPr>
        <w:tabs>
          <w:tab w:val="clear" w:pos="4201"/>
          <w:tab w:val="clear" w:pos="9298"/>
        </w:tabs>
        <w:jc w:val="left"/>
        <w:rPr>
          <w:szCs w:val="21"/>
        </w:rPr>
      </w:pPr>
      <w:r>
        <w:rPr>
          <w:rFonts w:hint="eastAsia"/>
          <w:szCs w:val="21"/>
        </w:rPr>
        <w:t>10.3.5自然循环的运行监测</w:t>
      </w:r>
    </w:p>
    <w:p w14:paraId="29285AB2" w14:textId="77777777" w:rsidR="008F6B68" w:rsidRDefault="00000000">
      <w:pPr>
        <w:pStyle w:val="aff9"/>
        <w:rPr>
          <w:szCs w:val="21"/>
        </w:rPr>
      </w:pPr>
      <w:r>
        <w:rPr>
          <w:rFonts w:hint="eastAsia"/>
          <w:szCs w:val="21"/>
        </w:rPr>
        <w:t>确保反应堆运行在自然循环的许可运行区域内，防止一/二回路的压差不能超过限制以及稳压器与一回路之间的温差超过限制。</w:t>
      </w:r>
    </w:p>
    <w:p w14:paraId="0C2C1537" w14:textId="77777777" w:rsidR="008F6B68" w:rsidRDefault="00000000">
      <w:pPr>
        <w:pStyle w:val="aff9"/>
        <w:rPr>
          <w:szCs w:val="21"/>
        </w:rPr>
      </w:pPr>
      <w:r>
        <w:rPr>
          <w:rFonts w:hint="eastAsia"/>
          <w:szCs w:val="21"/>
        </w:rPr>
        <w:t>对于M310系列机组，主泵停运导致强迫循环终止，致使一回路测温旁路测量失真，无法用于监测一回路温度；一回路主管道冷、热段温度传感器因循环流量锐减而测量误差增大，但其变化趋势仍具参考价值；堆芯出口温度Tric具有相当大的测量范围和足够的精度，因此自然循环的温度控制以Tric为准，主回路冷、热段的温度变化趋势作为参考。一回路的温度梯度取自一回路的冷段，因其测量误差增加，只能作为降温控制的参考，而不能作为温度控制的依据，降温控制应以Tric随时间变化数值作为控制依据，因主控没有直接的仪表，因此主控操纵员应定期记录相应的Tric并计算冷却速率。</w:t>
      </w:r>
    </w:p>
    <w:p w14:paraId="12369B73" w14:textId="77777777" w:rsidR="008F6B68" w:rsidRDefault="00000000">
      <w:pPr>
        <w:pStyle w:val="aff9"/>
        <w:rPr>
          <w:szCs w:val="21"/>
        </w:rPr>
      </w:pPr>
      <w:r>
        <w:rPr>
          <w:rFonts w:hint="eastAsia"/>
          <w:szCs w:val="21"/>
        </w:rPr>
        <w:t>对于华龙一号系列机组，一回路测温仪表是采用套筒直插入一回路管道内，主泵停运后不影响一回路温度的测量，此时TRIC也可以作为参考。</w:t>
      </w:r>
    </w:p>
    <w:p w14:paraId="53F654A8" w14:textId="77777777" w:rsidR="008F6B68" w:rsidRDefault="00000000">
      <w:pPr>
        <w:pStyle w:val="aff9"/>
        <w:rPr>
          <w:szCs w:val="21"/>
        </w:rPr>
      </w:pPr>
      <w:r>
        <w:rPr>
          <w:rFonts w:hint="eastAsia"/>
          <w:szCs w:val="21"/>
        </w:rPr>
        <w:tab/>
        <w:t>对于AP1000系列机组，在主泵停运后的自然循环冷却期间，仍然使用RCS冷段温度监视冷却速率。自然循环的运行监测的重点：持续关注F-0 规程（关键安全功能状态树CSFST）；关注RCS热段、RCS冷段温度、稳压器压力、堆芯过冷度、堆芯出口温度、SG二次侧压力、SG二次侧水位、TBS和或RORV响应情况。</w:t>
      </w:r>
    </w:p>
    <w:p w14:paraId="2C1A8E9E" w14:textId="77777777" w:rsidR="008F6B68" w:rsidRDefault="00000000">
      <w:pPr>
        <w:pStyle w:val="aff9"/>
        <w:rPr>
          <w:szCs w:val="21"/>
        </w:rPr>
      </w:pPr>
      <w:r>
        <w:rPr>
          <w:rFonts w:hint="eastAsia"/>
          <w:szCs w:val="21"/>
        </w:rPr>
        <w:lastRenderedPageBreak/>
        <w:t>对于EPR系列机组，一回路测温仪表是采用套筒直插入一回路管道内，主泵停运后不影响环路温度的测量，但由于环路流量变化，自动计算测量的温度梯度可能失真，此时可采用定时取点TRIC温度，通过手动测量温度梯度作为温度变化参考。</w:t>
      </w:r>
    </w:p>
    <w:p w14:paraId="11DE1838" w14:textId="77777777" w:rsidR="008F6B68" w:rsidRDefault="00000000">
      <w:pPr>
        <w:pStyle w:val="a4"/>
        <w:rPr>
          <w:szCs w:val="21"/>
        </w:rPr>
      </w:pPr>
      <w:bookmarkStart w:id="196" w:name="_Toc30008"/>
      <w:bookmarkStart w:id="197" w:name="_Toc32708"/>
      <w:bookmarkStart w:id="198" w:name="_Toc7775"/>
      <w:bookmarkStart w:id="199" w:name="_Toc16378"/>
      <w:r>
        <w:rPr>
          <w:rFonts w:hint="eastAsia"/>
          <w:color w:val="000000"/>
          <w:szCs w:val="21"/>
        </w:rPr>
        <w:t>事故停堆后的重新临界</w:t>
      </w:r>
      <w:bookmarkEnd w:id="196"/>
      <w:bookmarkEnd w:id="197"/>
      <w:bookmarkEnd w:id="198"/>
      <w:bookmarkEnd w:id="199"/>
    </w:p>
    <w:p w14:paraId="1053E780" w14:textId="77777777" w:rsidR="008F6B68" w:rsidRDefault="00000000">
      <w:pPr>
        <w:pStyle w:val="aff9"/>
        <w:rPr>
          <w:szCs w:val="21"/>
        </w:rPr>
      </w:pPr>
      <w:r>
        <w:rPr>
          <w:rFonts w:hint="eastAsia"/>
          <w:szCs w:val="21"/>
        </w:rPr>
        <w:t>只有在停堆原因充分查明后，方可允许重新临界。重新临界前必须检查重新临界的条件满足要求。</w:t>
      </w:r>
    </w:p>
    <w:p w14:paraId="7DE4D417" w14:textId="77777777" w:rsidR="008F6B68" w:rsidRDefault="00000000">
      <w:pPr>
        <w:pStyle w:val="aff9"/>
        <w:rPr>
          <w:szCs w:val="21"/>
        </w:rPr>
      </w:pPr>
      <w:r>
        <w:rPr>
          <w:rFonts w:hint="eastAsia"/>
          <w:szCs w:val="21"/>
        </w:rPr>
        <w:t>对于共因使多台机组事故停堆，或使机组安全水平降级的事故停堆，须采取措施并进行安全评价合格，必要时通过电厂核安全决策机构审评后才能重新临界。</w:t>
      </w:r>
    </w:p>
    <w:p w14:paraId="4EA97835" w14:textId="77777777" w:rsidR="008F6B68" w:rsidRDefault="00000000">
      <w:pPr>
        <w:pStyle w:val="aff9"/>
        <w:rPr>
          <w:szCs w:val="21"/>
        </w:rPr>
      </w:pPr>
      <w:r>
        <w:rPr>
          <w:rFonts w:hint="eastAsia"/>
          <w:szCs w:val="21"/>
        </w:rPr>
        <w:t>对于未超过安全限值的事故停堆，电厂应将停堆原因等相关信息告知核与辐射安全监督站。如国家核安全局或核与辐射安全监督站提出异议，应立即停止再启动活动。</w:t>
      </w:r>
    </w:p>
    <w:p w14:paraId="56755ADA" w14:textId="77777777" w:rsidR="008F6B68" w:rsidRDefault="00000000">
      <w:pPr>
        <w:pStyle w:val="aff9"/>
        <w:rPr>
          <w:szCs w:val="21"/>
        </w:rPr>
      </w:pPr>
      <w:r>
        <w:rPr>
          <w:rFonts w:hint="eastAsia"/>
          <w:szCs w:val="21"/>
        </w:rPr>
        <w:t>对超过安全限值的事故停堆以及国家核安全局认为重要的事故停堆，必须严格遵守5.3节核电厂再启动相关要求。</w:t>
      </w:r>
    </w:p>
    <w:p w14:paraId="6F2B2F9D" w14:textId="77777777" w:rsidR="008F6B68" w:rsidRDefault="00000000">
      <w:pPr>
        <w:pStyle w:val="a4"/>
        <w:rPr>
          <w:szCs w:val="21"/>
        </w:rPr>
      </w:pPr>
      <w:bookmarkStart w:id="200" w:name="_Toc13944"/>
      <w:bookmarkStart w:id="201" w:name="_Toc1972"/>
      <w:r>
        <w:rPr>
          <w:rFonts w:hint="eastAsia"/>
        </w:rPr>
        <w:t>紧急停堆机组控制的良好实践</w:t>
      </w:r>
      <w:bookmarkEnd w:id="200"/>
      <w:bookmarkEnd w:id="201"/>
    </w:p>
    <w:p w14:paraId="66CE92BE" w14:textId="77777777" w:rsidR="008F6B68" w:rsidRDefault="00000000">
      <w:pPr>
        <w:pStyle w:val="afff5"/>
      </w:pPr>
      <w:bookmarkStart w:id="202" w:name="_Toc8259"/>
      <w:bookmarkStart w:id="203" w:name="_Toc19265"/>
      <w:r>
        <w:rPr>
          <w:rFonts w:hint="eastAsia"/>
        </w:rPr>
        <w:t>12.1建立异常响应项目组运作体系</w:t>
      </w:r>
      <w:bookmarkEnd w:id="202"/>
      <w:bookmarkEnd w:id="203"/>
    </w:p>
    <w:p w14:paraId="1DE074D8" w14:textId="77777777" w:rsidR="008F6B68" w:rsidRDefault="00000000">
      <w:pPr>
        <w:pStyle w:val="aff9"/>
        <w:rPr>
          <w:szCs w:val="21"/>
        </w:rPr>
      </w:pPr>
      <w:r>
        <w:rPr>
          <w:rFonts w:hint="eastAsia"/>
          <w:szCs w:val="21"/>
        </w:rPr>
        <w:t>应建立机组突发重大异常时的电厂异常响应组织运作体系，以便在非应急状态下为运行值提供技术支持与资源保障，增加决策屏障，确保当班值长在突发事件中能将主要精力集中于机组安全控制，保障核安全、设备安全及人员安全。</w:t>
      </w:r>
    </w:p>
    <w:p w14:paraId="46EF3293" w14:textId="77777777" w:rsidR="008F6B68" w:rsidRDefault="00000000">
      <w:pPr>
        <w:pStyle w:val="aff9"/>
        <w:rPr>
          <w:szCs w:val="21"/>
        </w:rPr>
      </w:pPr>
      <w:r>
        <w:rPr>
          <w:rFonts w:hint="eastAsia"/>
          <w:szCs w:val="21"/>
        </w:rPr>
        <w:t>异常响应项目组包括但不限于运行控制组、设备抢修组、计划协调组、原因分析组、安全支持组等五个小组，可根据实际情况决定每次响应需设置的具体小组。此外，为保障思考与信息的独立性，确保决策趋于保守，并避免异常判断与决策过程中的“羊群效应”，项目组应同时设立“唱反调者”角色。</w:t>
      </w:r>
    </w:p>
    <w:p w14:paraId="6173FC67" w14:textId="77777777" w:rsidR="008F6B68" w:rsidRDefault="00000000">
      <w:pPr>
        <w:pStyle w:val="aff9"/>
        <w:rPr>
          <w:szCs w:val="21"/>
        </w:rPr>
      </w:pPr>
      <w:r>
        <w:rPr>
          <w:rFonts w:hint="eastAsia"/>
          <w:szCs w:val="21"/>
        </w:rPr>
        <w:t>运行控制组的职责：支持运行当班值同步监控机组参数、设备的状态变化；与当班值进行信息交流及技术分析，形成关于机组控制方向、故障处理策略等建议、决策；进行机组中长期走向的分析，向异常响应组织提出机组走向的建议；接受当班值长紧急安排的其他技术任务；组织成立启机保驾小组。</w:t>
      </w:r>
    </w:p>
    <w:p w14:paraId="39A6F4CD" w14:textId="77777777" w:rsidR="008F6B68" w:rsidRDefault="00000000">
      <w:pPr>
        <w:pStyle w:val="aff9"/>
        <w:rPr>
          <w:szCs w:val="21"/>
        </w:rPr>
      </w:pPr>
      <w:r>
        <w:rPr>
          <w:rFonts w:hint="eastAsia"/>
          <w:szCs w:val="21"/>
        </w:rPr>
        <w:t>设备抢修组的职责：对故障设备进行现场紧急处置和组织各专业开展检修；与原因分析组一同进行故障原因排查，协助原因分析组分析设备和系统状态；制定缺陷处理方案，组织设备消缺。</w:t>
      </w:r>
    </w:p>
    <w:p w14:paraId="550A4034" w14:textId="77777777" w:rsidR="008F6B68" w:rsidRDefault="00000000">
      <w:pPr>
        <w:pStyle w:val="aff9"/>
        <w:rPr>
          <w:szCs w:val="21"/>
        </w:rPr>
      </w:pPr>
      <w:r>
        <w:rPr>
          <w:rFonts w:hint="eastAsia"/>
          <w:szCs w:val="21"/>
        </w:rPr>
        <w:t>计划协调组：负责统筹、跟踪、协调专项组运作，根据要求搭建组织机构、通知人员到岗、组织专项组会议、编写会议行动及决策记录等；负责专项计划编制、工作逻辑图绘制、窗口协调安排、梳理可搭车处理的其他缺陷；负责三天滚动计划调整、主线计划编制及计划节点工作倒排；负责与电网方式处的正常沟通以及相关涉网信息报告的组织与协调；与运行部讨论受影响的定期试验、例行运行操作及机组检修安排；负责实时跟踪现场进度。</w:t>
      </w:r>
    </w:p>
    <w:p w14:paraId="054DDBAB" w14:textId="77777777" w:rsidR="008F6B68" w:rsidRDefault="00000000">
      <w:pPr>
        <w:pStyle w:val="aff9"/>
        <w:rPr>
          <w:szCs w:val="21"/>
        </w:rPr>
      </w:pPr>
      <w:r>
        <w:rPr>
          <w:rFonts w:hint="eastAsia"/>
          <w:szCs w:val="21"/>
        </w:rPr>
        <w:t>原因分析组的职责：负责调查分析机组异常或设备故障原因；对机组、系统、设备故障信息进行收集，连续跟踪故障的演变；与设备抢修组一同进行故障原因排查，配合设备抢修组进行设备检修方案论证；对当前机组、系统、设备的状态进行独立分析，关注重大设备的运行安全。</w:t>
      </w:r>
    </w:p>
    <w:p w14:paraId="16F0DB42" w14:textId="77777777" w:rsidR="008F6B68" w:rsidRDefault="00000000">
      <w:pPr>
        <w:pStyle w:val="aff9"/>
        <w:rPr>
          <w:szCs w:val="21"/>
        </w:rPr>
      </w:pPr>
      <w:r>
        <w:rPr>
          <w:rFonts w:hint="eastAsia"/>
          <w:szCs w:val="21"/>
        </w:rPr>
        <w:t>安全支持组：对机组核安全和堆芯状态进行独立分析；在停堆工况下独立监视反应堆停堆深度；提供机组安全控制建议；负责组织机组异常信息报送；负责机组抢修期间的现场安全、车辆安排、通讯保障、员工用餐等后勤保障安排；负责网络舆情监测与信息发布；负责对整个检修过程中的质量控制过程、文件合规性进行检查。</w:t>
      </w:r>
    </w:p>
    <w:p w14:paraId="311825EE" w14:textId="77777777" w:rsidR="008F6B68" w:rsidRDefault="00000000">
      <w:pPr>
        <w:pStyle w:val="aff9"/>
        <w:rPr>
          <w:szCs w:val="21"/>
        </w:rPr>
      </w:pPr>
      <w:r>
        <w:rPr>
          <w:rFonts w:hint="eastAsia"/>
          <w:szCs w:val="21"/>
        </w:rPr>
        <w:lastRenderedPageBreak/>
        <w:t>唱反调者的职责：以堆芯和机组安全为目标，保守决策；对收集的信息、制定的方案及决策提出质疑；基于不同立场，挑战组织的原因分析与决策；考虑最坏情况，提出建议与行动方向；独立收集信息并进行思考，提供独立意见，以避免“从众”效应。</w:t>
      </w:r>
    </w:p>
    <w:p w14:paraId="0673E2B9" w14:textId="77777777" w:rsidR="008F6B68" w:rsidRDefault="00000000">
      <w:pPr>
        <w:pStyle w:val="afff5"/>
      </w:pPr>
      <w:bookmarkStart w:id="204" w:name="_Toc14191"/>
      <w:bookmarkStart w:id="205" w:name="_Toc1535"/>
      <w:r>
        <w:rPr>
          <w:rFonts w:hint="eastAsia"/>
        </w:rPr>
        <w:t>12.2建立紧急停堆后的电厂执行指引</w:t>
      </w:r>
      <w:bookmarkEnd w:id="204"/>
      <w:bookmarkEnd w:id="205"/>
    </w:p>
    <w:p w14:paraId="26CD7CB8" w14:textId="77777777" w:rsidR="008F6B68" w:rsidRDefault="00000000">
      <w:pPr>
        <w:pStyle w:val="aff9"/>
        <w:rPr>
          <w:szCs w:val="21"/>
        </w:rPr>
      </w:pPr>
      <w:r>
        <w:rPr>
          <w:rFonts w:hint="eastAsia"/>
          <w:szCs w:val="21"/>
        </w:rPr>
        <w:t>主控室作为机组控制中枢，其在瞬态工况下正确、迅速、准确的响应，对机组状态稳定与恢复至关重要。当机组发生反应堆紧急停堆，对应机组主控室需要按照运行规程指引稳定机组状态、汇报电网机组状态、启动生产待命、协助编制停堆审查报告、成立机组启动项目组、按照电厂运行事件报告要求执行相应汇报、重新临界及并网、升功率等工作。因此，当机组发生反应堆紧急停堆时，电厂主要涉及七方面工作：运行规程执行、汇报电网机组状态、生产待命启动、停堆审查报告编制、事件调查和响应、事件报告通报和机组重启。</w:t>
      </w:r>
    </w:p>
    <w:p w14:paraId="34366A73" w14:textId="77777777" w:rsidR="008F6B68" w:rsidRDefault="00000000">
      <w:pPr>
        <w:pStyle w:val="aff9"/>
        <w:rPr>
          <w:szCs w:val="21"/>
        </w:rPr>
      </w:pPr>
      <w:r>
        <w:rPr>
          <w:rFonts w:hint="eastAsia"/>
          <w:szCs w:val="21"/>
        </w:rPr>
        <w:t>运行规程执行。反应堆紧急停堆后，主控室执行事故规程稳定和控制机组。当事故处理完成满足退出事故规程条件后，由运行当班值确定转至合适的规程，并根据计划安排重新临界、冲转并网、升功率。</w:t>
      </w:r>
    </w:p>
    <w:p w14:paraId="269E7BD2" w14:textId="77777777" w:rsidR="008F6B68" w:rsidRDefault="00000000">
      <w:pPr>
        <w:pStyle w:val="aff9"/>
        <w:rPr>
          <w:szCs w:val="21"/>
        </w:rPr>
      </w:pPr>
      <w:r>
        <w:rPr>
          <w:rFonts w:hint="eastAsia"/>
          <w:szCs w:val="21"/>
        </w:rPr>
        <w:t>汇报电网机组状态。在机组与电网解列后，当班值长需立即汇报电网停堆、解列情况，说明故障原因。当机组具备并网条件时，当班值长联系电网调度台申请并网。</w:t>
      </w:r>
    </w:p>
    <w:p w14:paraId="2900EA0D" w14:textId="77777777" w:rsidR="008F6B68" w:rsidRDefault="00000000">
      <w:pPr>
        <w:pStyle w:val="aff9"/>
        <w:rPr>
          <w:szCs w:val="21"/>
        </w:rPr>
      </w:pPr>
      <w:r>
        <w:rPr>
          <w:rFonts w:hint="eastAsia"/>
          <w:szCs w:val="21"/>
        </w:rPr>
        <w:t>生产待命启动。反应堆紧急停堆后，由值长（或其他授权人员）发起整体生产待命启动通知，下令待命车辆在指定地点将待命人员送至现场，特殊情况下可以要求待命车辆到其他地点把待命人员送至现场，以此来启动所有生产相关部门进行事件响应，确保机组的安全可靠运行及生产相关重要工作的顺利开展。</w:t>
      </w:r>
    </w:p>
    <w:p w14:paraId="231FC87F" w14:textId="77777777" w:rsidR="008F6B68" w:rsidRDefault="00000000">
      <w:pPr>
        <w:pStyle w:val="aff9"/>
        <w:rPr>
          <w:szCs w:val="21"/>
        </w:rPr>
      </w:pPr>
      <w:r>
        <w:rPr>
          <w:rFonts w:hint="eastAsia"/>
          <w:szCs w:val="21"/>
        </w:rPr>
        <w:t>停堆审查报告编制。安全技术顾问（STA）需按照规定的时间完成停堆审查报告的编制并流转审查。事件分级的界定按照国家核安全局发布的《国际核与辐射事件分级手册》确定。</w:t>
      </w:r>
    </w:p>
    <w:p w14:paraId="155B6676" w14:textId="77777777" w:rsidR="008F6B68" w:rsidRDefault="00000000">
      <w:pPr>
        <w:pStyle w:val="aff9"/>
        <w:rPr>
          <w:szCs w:val="21"/>
        </w:rPr>
      </w:pPr>
      <w:r>
        <w:rPr>
          <w:rFonts w:hint="eastAsia"/>
          <w:szCs w:val="21"/>
        </w:rPr>
        <w:t>事件调查和响应。事件发生后，由电厂责任调查部门安排专人负责事件调查、分析及运行事件报告编写。必要时，可成立跨部门事件独立调查小组，开展事件调查与根本原因分析，并编写事件报告。</w:t>
      </w:r>
    </w:p>
    <w:p w14:paraId="6E768ACA" w14:textId="77777777" w:rsidR="008F6B68" w:rsidRDefault="00000000">
      <w:pPr>
        <w:pStyle w:val="aff9"/>
        <w:rPr>
          <w:szCs w:val="21"/>
        </w:rPr>
      </w:pPr>
      <w:r>
        <w:rPr>
          <w:rFonts w:hint="eastAsia"/>
          <w:szCs w:val="21"/>
        </w:rPr>
        <w:t>事件报告通报。反应堆紧急停堆后，根据电厂运行事件报告的程序要求，在规定时间内向指定政府部门发出口头通告、书面通告和运行事件报告。</w:t>
      </w:r>
    </w:p>
    <w:p w14:paraId="54B763FD" w14:textId="77777777" w:rsidR="008F6B68" w:rsidRDefault="00000000">
      <w:pPr>
        <w:pStyle w:val="aff9"/>
        <w:rPr>
          <w:szCs w:val="21"/>
        </w:rPr>
      </w:pPr>
      <w:r>
        <w:rPr>
          <w:rFonts w:hint="eastAsia"/>
          <w:szCs w:val="21"/>
        </w:rPr>
        <w:t>机组重启。当机组状态已恢复、根据电厂程序获得授权且通过审查批准、NNSA监管允许机组重启、电厂管理层决定重启反应堆，以上条件都满足后，主控室按照管理规定和运行程序，执行达临界操作。</w:t>
      </w:r>
    </w:p>
    <w:p w14:paraId="1A83BD73" w14:textId="77777777" w:rsidR="008F6B68" w:rsidRDefault="00000000">
      <w:pPr>
        <w:pStyle w:val="afff5"/>
      </w:pPr>
      <w:bookmarkStart w:id="206" w:name="_Toc2720"/>
      <w:bookmarkStart w:id="207" w:name="_Toc13199"/>
      <w:r>
        <w:rPr>
          <w:rFonts w:hint="eastAsia"/>
        </w:rPr>
        <w:t>12.3碘坑达临界</w:t>
      </w:r>
      <w:bookmarkEnd w:id="206"/>
      <w:bookmarkEnd w:id="207"/>
    </w:p>
    <w:p w14:paraId="4B07A4C4" w14:textId="77777777" w:rsidR="008F6B68" w:rsidRDefault="00000000">
      <w:pPr>
        <w:pStyle w:val="aff9"/>
        <w:rPr>
          <w:szCs w:val="21"/>
        </w:rPr>
      </w:pPr>
      <w:r>
        <w:rPr>
          <w:rFonts w:hint="eastAsia"/>
          <w:szCs w:val="21"/>
        </w:rPr>
        <w:t>反应堆紧急停堆后，若停堆原因明确且可快速重新启动，反应堆可能处于氙毒消除过程，需在堆芯处于“碘坑”阶段达临界。“碘坑”阶段，堆芯氙浓度非常高，达临界过程氙衰变引入正反应性，可能导致反应堆在稀释过程中意外临界。同时，堆芯临界后，氙衰变持续引入正反应性，在堆芯中子通量上升至核加热点期间无负反馈效应，如果不进行适当干预，可能导致倍增周期小于18s的短周期事故。因此，在进行达临界反应性计算以及制定控制策略时，需考虑氙毒引入的反应性变化，并密切监控堆芯中子通量变化，确保在Keff接近1时平稳过渡到临界。</w:t>
      </w:r>
    </w:p>
    <w:p w14:paraId="7F48D1AF" w14:textId="77777777" w:rsidR="008F6B68" w:rsidRDefault="00000000">
      <w:pPr>
        <w:pStyle w:val="afff5"/>
      </w:pPr>
      <w:bookmarkStart w:id="208" w:name="_Toc15788"/>
      <w:bookmarkStart w:id="209" w:name="_Toc3493"/>
      <w:r>
        <w:rPr>
          <w:rFonts w:hint="eastAsia"/>
        </w:rPr>
        <w:t>12.4事故程序执行期间常规岛控制</w:t>
      </w:r>
      <w:bookmarkEnd w:id="208"/>
      <w:bookmarkEnd w:id="209"/>
    </w:p>
    <w:p w14:paraId="27A128A7" w14:textId="77777777" w:rsidR="008F6B68" w:rsidRDefault="00000000">
      <w:pPr>
        <w:pStyle w:val="aff9"/>
        <w:rPr>
          <w:szCs w:val="21"/>
        </w:rPr>
      </w:pPr>
      <w:r>
        <w:rPr>
          <w:rFonts w:hint="eastAsia"/>
          <w:szCs w:val="21"/>
        </w:rPr>
        <w:t>反应堆紧急停堆后，事故规程的设计思路是保护堆芯，缺少对常规岛系统和设备的管控。针对简单停堆、失去主变、失去冷源三种工况，常规岛系统和设备控制思路稍有区别。</w:t>
      </w:r>
    </w:p>
    <w:p w14:paraId="6CA14EBB" w14:textId="77777777" w:rsidR="008F6B68" w:rsidRDefault="00000000">
      <w:pPr>
        <w:pStyle w:val="aff9"/>
        <w:ind w:firstLineChars="0" w:firstLine="0"/>
        <w:rPr>
          <w:szCs w:val="21"/>
        </w:rPr>
      </w:pPr>
      <w:r>
        <w:rPr>
          <w:rFonts w:hint="eastAsia"/>
          <w:szCs w:val="21"/>
        </w:rPr>
        <w:t>（1）简单停堆后的常规岛控制关键点</w:t>
      </w:r>
    </w:p>
    <w:p w14:paraId="03564164" w14:textId="77777777" w:rsidR="008F6B68" w:rsidRDefault="00000000">
      <w:pPr>
        <w:pStyle w:val="aff9"/>
        <w:rPr>
          <w:szCs w:val="21"/>
        </w:rPr>
      </w:pPr>
      <w:r>
        <w:rPr>
          <w:rFonts w:hint="eastAsia"/>
          <w:szCs w:val="21"/>
        </w:rPr>
        <w:t>二回路蒸汽用户控制。机组简单停堆后，若二回路不必要的蒸汽用户投入运行，可能导致一回路过冷。因此，应及时切除不必要的二回路蒸汽用户。</w:t>
      </w:r>
    </w:p>
    <w:p w14:paraId="1F174AB5" w14:textId="77777777" w:rsidR="008F6B68" w:rsidRDefault="00000000">
      <w:pPr>
        <w:pStyle w:val="aff9"/>
        <w:rPr>
          <w:szCs w:val="21"/>
        </w:rPr>
      </w:pPr>
      <w:r>
        <w:rPr>
          <w:rFonts w:hint="eastAsia"/>
          <w:szCs w:val="21"/>
        </w:rPr>
        <w:lastRenderedPageBreak/>
        <w:t>ASG水装量控制。针对失去给水导致的停堆事故，ASG泵会启动给蒸汽发生器供水。ASG001BA补水需尽快投入，事故程序中对ASG001BA补水的操作指令相对比较靠后，如果执行较晚或者液位已降到较低位置时再准备会比较仓促。因此，在反应堆跳堆后，应尽快安排对ASG001BA进行补水。</w:t>
      </w:r>
    </w:p>
    <w:p w14:paraId="5B99D021" w14:textId="77777777" w:rsidR="008F6B68" w:rsidRDefault="00000000">
      <w:pPr>
        <w:pStyle w:val="aff9"/>
        <w:rPr>
          <w:szCs w:val="21"/>
        </w:rPr>
      </w:pPr>
      <w:r>
        <w:rPr>
          <w:rFonts w:hint="eastAsia"/>
          <w:szCs w:val="21"/>
        </w:rPr>
        <w:t>凝汽器水位控制。跳机跳堆后，二回路应急疏水排放全部切换到凝汽器，同时由于冷凝水回流到凝汽器中，凝汽器的液位上涨比较快，可能因凝汽器液位过高而导致凝汽器不可用信号产生。此外，凝汽器储存了二回路大部分水导致冷凝器结构过负荷，发生垮塌风险。因此，需及时通过凝结水泵将水排一部分至除氧器，或适当对凝汽器进行排水以降低凝汽器水位。</w:t>
      </w:r>
    </w:p>
    <w:p w14:paraId="36D25BAE" w14:textId="77777777" w:rsidR="008F6B68" w:rsidRDefault="00000000">
      <w:pPr>
        <w:pStyle w:val="aff9"/>
        <w:ind w:firstLineChars="0" w:firstLine="0"/>
        <w:rPr>
          <w:szCs w:val="21"/>
        </w:rPr>
      </w:pPr>
      <w:r>
        <w:rPr>
          <w:rFonts w:hint="eastAsia"/>
          <w:szCs w:val="21"/>
        </w:rPr>
        <w:t>（2）失去主变停堆后的常规岛控制关键点</w:t>
      </w:r>
    </w:p>
    <w:p w14:paraId="3F13E5F2" w14:textId="77777777" w:rsidR="008F6B68" w:rsidRDefault="00000000">
      <w:pPr>
        <w:pStyle w:val="aff9"/>
        <w:rPr>
          <w:szCs w:val="21"/>
        </w:rPr>
      </w:pPr>
      <w:r>
        <w:rPr>
          <w:rFonts w:hint="eastAsia"/>
          <w:szCs w:val="21"/>
        </w:rPr>
        <w:t>失去主变导致的停堆与普通的简单停堆对常规岛的影响不完全一样。失去主变后，常规岛大部分设备因失电停止运转，蒸汽发生器失去主给水，此时蒸汽发生器的给水自动由辅助给水系统来保证。</w:t>
      </w:r>
    </w:p>
    <w:p w14:paraId="7969568B" w14:textId="77777777" w:rsidR="008F6B68" w:rsidRDefault="00000000">
      <w:pPr>
        <w:pStyle w:val="aff9"/>
        <w:rPr>
          <w:szCs w:val="21"/>
        </w:rPr>
      </w:pPr>
      <w:r>
        <w:rPr>
          <w:rFonts w:hint="eastAsia"/>
          <w:szCs w:val="21"/>
        </w:rPr>
        <w:t>发电机氢气密封油系统的空侧油泵运行控制。失去主变瞬间，发电机氢气密封油系统的交流油泵可能跳闸导致发电机氢气密封油系统直流油泵运行，可能导致发电机紧急排氢。因此，需关注发电机氢气密封油系统的空侧油泵的运行情况，确保交流油泵正常运行，并及时停运发电机氢气密封油系统的直流油泵。</w:t>
      </w:r>
    </w:p>
    <w:p w14:paraId="592A0656" w14:textId="77777777" w:rsidR="008F6B68" w:rsidRDefault="00000000">
      <w:pPr>
        <w:pStyle w:val="aff9"/>
        <w:rPr>
          <w:szCs w:val="21"/>
        </w:rPr>
      </w:pPr>
      <w:r>
        <w:rPr>
          <w:rFonts w:hint="eastAsia"/>
          <w:szCs w:val="21"/>
        </w:rPr>
        <w:t>除氧器水位控制。失去主外电源后，主给水系统不再向蒸汽发生器供水，但是蒸汽发生器排污系统的冷却水持续通过凝结水系统进入除氧器，导致除氧器水位持续上涨。因此，需及时将蒸汽发生器排污系统切至非再生式回路运行。</w:t>
      </w:r>
      <w:r>
        <w:rPr>
          <w:rFonts w:hint="eastAsia"/>
          <w:szCs w:val="21"/>
        </w:rPr>
        <w:br/>
        <w:t>（3）失去冷源停堆后的常规岛控制关键点</w:t>
      </w:r>
    </w:p>
    <w:p w14:paraId="3C41E430" w14:textId="77777777" w:rsidR="008F6B68" w:rsidRDefault="00000000">
      <w:pPr>
        <w:pStyle w:val="aff9"/>
        <w:rPr>
          <w:szCs w:val="21"/>
        </w:rPr>
      </w:pPr>
      <w:r>
        <w:rPr>
          <w:rFonts w:hint="eastAsia"/>
          <w:szCs w:val="21"/>
        </w:rPr>
        <w:t>失去冷源反应堆停堆后，没有冷源的常规岛，在控制上显得非常困难。常规岛闭式冷却水系统温度不断上涨将导致下游冷却的泵、冷却器运行均不可靠。失去循环水泵的冷却将导致凝汽器接受大量热的疏水和热蒸汽后无法带走热量，温度快速上涨，直接影响凝汽器和汽轮机低压缸的安全。失去冷源后的常规岛控制要点如下。</w:t>
      </w:r>
    </w:p>
    <w:p w14:paraId="46DBE233" w14:textId="77777777" w:rsidR="008F6B68" w:rsidRDefault="00000000">
      <w:pPr>
        <w:pStyle w:val="aff9"/>
        <w:rPr>
          <w:szCs w:val="21"/>
        </w:rPr>
      </w:pPr>
      <w:r>
        <w:rPr>
          <w:rFonts w:hint="eastAsia"/>
          <w:szCs w:val="21"/>
        </w:rPr>
        <w:t>凝汽器温度控制。失去两台循环水泵后，凝汽器失去冷源后温度将快速上涨超过100℃，可能损伤凝汽器钛管，并对低压缸安全运行造成影响，因此，需要开启真空破坏阀释放能量。此外，凝汽器温度高，不允许凝结水泵启动，需要尽快通过凝汽器换水进行降温。</w:t>
      </w:r>
    </w:p>
    <w:p w14:paraId="7C81936B" w14:textId="77777777" w:rsidR="008F6B68" w:rsidRDefault="00000000">
      <w:pPr>
        <w:pStyle w:val="aff9"/>
        <w:rPr>
          <w:szCs w:val="21"/>
        </w:rPr>
      </w:pPr>
      <w:r>
        <w:rPr>
          <w:rFonts w:hint="eastAsia"/>
          <w:szCs w:val="21"/>
        </w:rPr>
        <w:t>常规岛闭式冷却水系统的控制。失去两台循环水泵后，常规岛闭式冷却水系统丧失冷源，此时常规岛大量负荷需要冷却，常规岛闭式冷却水系统的温度将快速上涨。可以采取如下干预手段：开启汽轮机厂房的大门，手动启动汽轮机厂房的全部通风风机进行强迫循环散热；停运不必要的热负荷；通过充排水的方式对常规岛闭式冷却水系统进行换水；寻找其他可用水源对常规岛闭式冷却水系统进行冷却。</w:t>
      </w:r>
    </w:p>
    <w:p w14:paraId="1201685C" w14:textId="77777777" w:rsidR="008F6B68" w:rsidRDefault="00000000">
      <w:pPr>
        <w:pStyle w:val="aff9"/>
        <w:rPr>
          <w:szCs w:val="21"/>
        </w:rPr>
      </w:pPr>
      <w:r>
        <w:rPr>
          <w:rFonts w:hint="eastAsia"/>
          <w:szCs w:val="21"/>
        </w:rPr>
        <w:t>常规岛废液贮存排放系统的排放控制。在常规岛失去全部冷源后，凝汽器系统和常规岛闭式冷却水系统均需要通过持续换水带走热量，常规岛废液贮存排放系统的接收能力将受到较大考验。因此，需要提前做好常规岛废液贮存排放系统的排放管理。</w:t>
      </w:r>
    </w:p>
    <w:p w14:paraId="5B0D47E5" w14:textId="77777777" w:rsidR="008F6B68" w:rsidRDefault="00000000">
      <w:pPr>
        <w:pStyle w:val="aff9"/>
        <w:rPr>
          <w:szCs w:val="21"/>
        </w:rPr>
      </w:pPr>
      <w:r>
        <w:rPr>
          <w:rFonts w:hint="eastAsia"/>
          <w:szCs w:val="21"/>
        </w:rPr>
        <w:t>辅助蒸汽分配系统的控制。当发生多机组同时停堆时，辅助蒸汽分配系统的蒸汽供应在机组稳定和启动过程中尤其重要。初始，由于全厂失去辅助蒸汽分配系统蒸汽，辅助给水系统的除气器无法启动向辅助给水系统的水箱补水，导致所有机组都需向RRA连接的双相模式后撤，但是由于冷源异常，一旦重要厂用水系统故障导致机组失去核岛闭式循环冷却水系统，机组后撤到RRA连接的双相模式将无冷源带走堆芯余热，机组面临两难抉择。此时，机组可通过热停堆平台的堆芯余热向蒸汽转换器系统供汽来产生辅助蒸汽分配系统蒸汽，从而向辅助给水系统的除气器和硼回收系统的蒸发器等供应辅助蒸汽。此时蒸汽转换器系统的蒸汽产能与一回路余热大小密切相关，在堆芯余热较大时，需尽快通过硼回收系统的蒸发器制硼、辅助给水系统的除气器制水。</w:t>
      </w:r>
    </w:p>
    <w:p w14:paraId="278BF80E" w14:textId="77777777" w:rsidR="008F6B68" w:rsidRDefault="00000000">
      <w:pPr>
        <w:pStyle w:val="aff9"/>
        <w:rPr>
          <w:szCs w:val="21"/>
        </w:rPr>
      </w:pPr>
      <w:r>
        <w:rPr>
          <w:rFonts w:hint="eastAsia"/>
          <w:szCs w:val="21"/>
        </w:rPr>
        <w:t>双机组停堆的蒸汽发生器供水控制。如果单机组停堆，使用事故规程直接转水至辅助给水系统供水，如果双机组同时停堆，由于辅助给水系统的除气器仅能满足一台机组的辅助给水系统水箱供水需求，因此，需要对转水进行决策。如果双机组失去冷源停堆，一台机组需要后撤至RRA连接的双相模式，一台</w:t>
      </w:r>
      <w:r>
        <w:rPr>
          <w:rFonts w:hint="eastAsia"/>
          <w:szCs w:val="21"/>
        </w:rPr>
        <w:lastRenderedPageBreak/>
        <w:t>机组需要维持在热停堆状态保持向蒸汽转换器系统供汽来产生辅助蒸汽分配系统蒸汽。为缓解双机组停堆蒸汽发生器供水困难，可维持热停堆状态的机组可以优先使用可用的主给水系统为机组供水，辅助给水系统作为备用。</w:t>
      </w:r>
    </w:p>
    <w:p w14:paraId="3FB7FF16" w14:textId="77777777" w:rsidR="008F6B68" w:rsidRDefault="008F6B68">
      <w:pPr>
        <w:pStyle w:val="aff9"/>
        <w:rPr>
          <w:szCs w:val="21"/>
        </w:rPr>
      </w:pPr>
    </w:p>
    <w:p w14:paraId="10C1CC35" w14:textId="77777777" w:rsidR="008F6B68" w:rsidRDefault="008F6B68">
      <w:pPr>
        <w:pStyle w:val="aff9"/>
        <w:rPr>
          <w:color w:val="000000"/>
          <w:szCs w:val="21"/>
        </w:rPr>
      </w:pPr>
    </w:p>
    <w:p w14:paraId="75C3BF3A" w14:textId="77777777" w:rsidR="008F6B68" w:rsidRDefault="008F6B68">
      <w:pPr>
        <w:pStyle w:val="aff9"/>
        <w:rPr>
          <w:color w:val="000000"/>
          <w:szCs w:val="21"/>
        </w:rPr>
      </w:pPr>
    </w:p>
    <w:p w14:paraId="718C1A30" w14:textId="77777777" w:rsidR="008F6B68" w:rsidRDefault="008F6B68">
      <w:pPr>
        <w:pStyle w:val="aff9"/>
        <w:rPr>
          <w:color w:val="000000"/>
          <w:szCs w:val="21"/>
        </w:rPr>
      </w:pPr>
    </w:p>
    <w:p w14:paraId="26D5A909" w14:textId="77777777" w:rsidR="008F6B68" w:rsidRDefault="00000000">
      <w:pPr>
        <w:pStyle w:val="afffff3"/>
      </w:pPr>
      <w:bookmarkStart w:id="210" w:name="_Toc8887"/>
      <w:bookmarkStart w:id="211" w:name="_Toc31340"/>
      <w:bookmarkStart w:id="212" w:name="_Toc46228660"/>
      <w:bookmarkStart w:id="213" w:name="_Toc8136"/>
      <w:bookmarkStart w:id="214" w:name="BKCKWX"/>
      <w:bookmarkStart w:id="215" w:name="_Toc11168"/>
      <w:bookmarkStart w:id="216" w:name="_Toc142042993"/>
      <w:r>
        <w:rPr>
          <w:rFonts w:hint="eastAsia"/>
        </w:rPr>
        <w:lastRenderedPageBreak/>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210"/>
      <w:bookmarkEnd w:id="211"/>
      <w:bookmarkEnd w:id="212"/>
      <w:bookmarkEnd w:id="213"/>
      <w:bookmarkEnd w:id="214"/>
      <w:bookmarkEnd w:id="215"/>
      <w:bookmarkEnd w:id="216"/>
    </w:p>
    <w:p w14:paraId="6DC29303" w14:textId="77777777" w:rsidR="008F6B68" w:rsidRDefault="008F6B68">
      <w:pPr>
        <w:widowControl/>
        <w:jc w:val="left"/>
      </w:pPr>
    </w:p>
    <w:p w14:paraId="5C8EC4A3" w14:textId="77777777" w:rsidR="008F6B68" w:rsidRDefault="00000000">
      <w:pPr>
        <w:pStyle w:val="aff9"/>
        <w:ind w:leftChars="200" w:left="420" w:firstLineChars="0" w:firstLine="0"/>
      </w:pPr>
      <w:r>
        <w:rPr>
          <w:rFonts w:hint="eastAsia"/>
        </w:rPr>
        <w:t>[1]EJ/T 561-2000 压水堆核电厂安全停堆设计准则</w:t>
      </w:r>
      <w:r>
        <w:rPr>
          <w:rFonts w:hint="eastAsia"/>
        </w:rPr>
        <w:br/>
        <w:t>[2]NB/T 20524-2018 压水堆核电厂安全停堆设计准则</w:t>
      </w:r>
    </w:p>
    <w:p w14:paraId="6C1A8671" w14:textId="77777777" w:rsidR="008F6B68" w:rsidRDefault="00000000">
      <w:pPr>
        <w:pStyle w:val="aff9"/>
      </w:pPr>
      <w:r>
        <w:rPr>
          <w:rFonts w:hint="eastAsia"/>
        </w:rPr>
        <w:t>[3]NUMARC 91-06 Guidelines for Industry Actions to Assess Shutdown Management</w:t>
      </w:r>
    </w:p>
    <w:p w14:paraId="50A48619" w14:textId="77777777" w:rsidR="008F6B68" w:rsidRDefault="00000000">
      <w:pPr>
        <w:pStyle w:val="aff9"/>
      </w:pPr>
      <w:r>
        <w:rPr>
          <w:rFonts w:hint="eastAsia"/>
        </w:rPr>
        <w:t>[4]WANO GP 2017-02 紧急停堆敏感性评估</w:t>
      </w:r>
    </w:p>
    <w:p w14:paraId="52B96065" w14:textId="77777777" w:rsidR="008F6B68" w:rsidRDefault="00000000">
      <w:pPr>
        <w:pStyle w:val="aff9"/>
      </w:pPr>
      <w:r>
        <w:rPr>
          <w:rFonts w:hint="eastAsia"/>
        </w:rPr>
        <w:t>[5]WANO How to How To Review WANO SOER 2010-1 Shutdown Safety</w:t>
      </w:r>
    </w:p>
    <w:p w14:paraId="2CB3F170" w14:textId="77777777" w:rsidR="008F6B68" w:rsidRDefault="00000000">
      <w:pPr>
        <w:pStyle w:val="aff9"/>
      </w:pPr>
      <w:r>
        <w:rPr>
          <w:rFonts w:hint="eastAsia"/>
        </w:rPr>
        <w:t>[6]OU-AA-103 Shutdown Safety Management Program</w:t>
      </w:r>
    </w:p>
    <w:p w14:paraId="0E421B00" w14:textId="77777777" w:rsidR="008F6B68" w:rsidRDefault="00000000">
      <w:pPr>
        <w:pStyle w:val="aff9"/>
      </w:pPr>
      <w:r>
        <w:rPr>
          <w:rFonts w:hint="eastAsia"/>
        </w:rPr>
        <w:t>[7]WANO SOER 2010-1 Shutdown Safety</w:t>
      </w:r>
    </w:p>
    <w:p w14:paraId="19128327" w14:textId="77777777" w:rsidR="008F6B68" w:rsidRDefault="00000000">
      <w:pPr>
        <w:pStyle w:val="aff9"/>
      </w:pPr>
      <w:r>
        <w:rPr>
          <w:rFonts w:hint="eastAsia"/>
        </w:rPr>
        <w:t>[8]压水堆核电站停堆工况硼失控稀释事故风险研究 柯国土 许汉铭</w:t>
      </w:r>
    </w:p>
    <w:p w14:paraId="763E32D3" w14:textId="77777777" w:rsidR="008F6B68" w:rsidRDefault="00000000">
      <w:pPr>
        <w:pStyle w:val="aff9"/>
      </w:pPr>
      <w:r>
        <w:rPr>
          <w:rFonts w:hint="eastAsia"/>
        </w:rPr>
        <w:t>[9]GL 2008-01 Guidelines for the Conduct of Outages at Nuclear Power Plant</w:t>
      </w:r>
    </w:p>
    <w:p w14:paraId="4B30C9AE" w14:textId="77777777" w:rsidR="008F6B68" w:rsidRDefault="00000000">
      <w:pPr>
        <w:pStyle w:val="aff9"/>
      </w:pPr>
      <w:r>
        <w:rPr>
          <w:rFonts w:hint="eastAsia"/>
        </w:rPr>
        <w:t>[10]INPO 06-008 Guidelines for the Conduct of Outages at Nuclear Power Plants</w:t>
      </w:r>
    </w:p>
    <w:p w14:paraId="29B5E9F6" w14:textId="77777777" w:rsidR="008F6B68" w:rsidRDefault="00000000">
      <w:pPr>
        <w:pStyle w:val="afffff4"/>
        <w:framePr w:wrap="around"/>
      </w:pPr>
      <w:r>
        <w:t>_________________________________</w:t>
      </w:r>
    </w:p>
    <w:sectPr w:rsidR="008F6B68">
      <w:pgSz w:w="11906" w:h="16838"/>
      <w:pgMar w:top="567" w:right="1134" w:bottom="1134" w:left="1417" w:header="1418" w:footer="1134" w:gutter="0"/>
      <w:pgNumType w:start="1"/>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AC999" w14:textId="77777777" w:rsidR="00A1149C" w:rsidRDefault="00A1149C">
      <w:r>
        <w:separator/>
      </w:r>
    </w:p>
  </w:endnote>
  <w:endnote w:type="continuationSeparator" w:id="0">
    <w:p w14:paraId="13DDBE97" w14:textId="77777777" w:rsidR="00A1149C" w:rsidRDefault="00A11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altName w:val="Microsoft Sans Serif"/>
    <w:charset w:val="DE"/>
    <w:family w:val="roman"/>
    <w:pitch w:val="variable"/>
    <w:sig w:usb0="81000003" w:usb1="00000000" w:usb2="00000000" w:usb3="00000000" w:csb0="0001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A886F" w14:textId="77777777" w:rsidR="008F6B68" w:rsidRDefault="00000000">
    <w:pPr>
      <w:pStyle w:val="affff0"/>
    </w:pPr>
    <w:r>
      <w:fldChar w:fldCharType="begin"/>
    </w:r>
    <w:r>
      <w:instrText xml:space="preserve"> PAGE  \* MERGEFORMAT </w:instrText>
    </w:r>
    <w:r>
      <w:fldChar w:fldCharType="separate"/>
    </w:r>
    <w:r>
      <w:t>28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5311E" w14:textId="77777777" w:rsidR="008F6B68" w:rsidRDefault="00000000">
    <w:pPr>
      <w:pStyle w:val="affff1"/>
    </w:pPr>
    <w:r>
      <w:fldChar w:fldCharType="begin"/>
    </w:r>
    <w:r>
      <w:instrText xml:space="preserve"> PAGE  \* MERGEFORMAT </w:instrText>
    </w:r>
    <w:r>
      <w:fldChar w:fldCharType="separate"/>
    </w:r>
    <w:r>
      <w:t>29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9694C" w14:textId="77777777" w:rsidR="00A1149C" w:rsidRDefault="00A1149C">
      <w:r>
        <w:separator/>
      </w:r>
    </w:p>
  </w:footnote>
  <w:footnote w:type="continuationSeparator" w:id="0">
    <w:p w14:paraId="341FB707" w14:textId="77777777" w:rsidR="00A1149C" w:rsidRDefault="00A11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E4EFF" w14:textId="77777777" w:rsidR="008F6B68" w:rsidRDefault="00000000">
    <w:pPr>
      <w:pStyle w:val="affff"/>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D75" w14:textId="77777777" w:rsidR="008F6B68" w:rsidRDefault="00000000">
    <w:pPr>
      <w:pStyle w:val="afffd"/>
    </w:pPr>
    <w:r>
      <w:rPr>
        <w:rFonts w:hint="eastAsia"/>
      </w:rPr>
      <w:t>T</w:t>
    </w:r>
    <w:r>
      <w:t>/</w:t>
    </w:r>
    <w:r>
      <w:rPr>
        <w:rFonts w:hint="eastAsia"/>
      </w:rPr>
      <w:t>CNEA</w:t>
    </w:r>
    <w:r>
      <w:t xml:space="preserve">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5D1D47"/>
    <w:multiLevelType w:val="singleLevel"/>
    <w:tmpl w:val="975D1D47"/>
    <w:lvl w:ilvl="0">
      <w:start w:val="1"/>
      <w:numFmt w:val="lowerLetter"/>
      <w:lvlText w:val="%1)"/>
      <w:lvlJc w:val="left"/>
      <w:pPr>
        <w:tabs>
          <w:tab w:val="left" w:pos="420"/>
        </w:tabs>
        <w:ind w:left="425" w:hanging="425"/>
      </w:pPr>
      <w:rPr>
        <w:rFonts w:hint="default"/>
      </w:rPr>
    </w:lvl>
  </w:abstractNum>
  <w:abstractNum w:abstractNumId="1" w15:restartNumberingAfterBreak="0">
    <w:nsid w:val="B2A070ED"/>
    <w:multiLevelType w:val="singleLevel"/>
    <w:tmpl w:val="B2A070ED"/>
    <w:lvl w:ilvl="0">
      <w:start w:val="1"/>
      <w:numFmt w:val="bullet"/>
      <w:lvlText w:val="•"/>
      <w:lvlJc w:val="left"/>
      <w:pPr>
        <w:ind w:left="420" w:hanging="420"/>
      </w:pPr>
      <w:rPr>
        <w:rFonts w:ascii="Arial" w:hAnsi="Arial" w:cs="Arial" w:hint="default"/>
      </w:rPr>
    </w:lvl>
  </w:abstractNum>
  <w:abstractNum w:abstractNumId="2" w15:restartNumberingAfterBreak="0">
    <w:nsid w:val="BFFD9723"/>
    <w:multiLevelType w:val="singleLevel"/>
    <w:tmpl w:val="BFFD9723"/>
    <w:lvl w:ilvl="0">
      <w:start w:val="1"/>
      <w:numFmt w:val="lowerLetter"/>
      <w:lvlText w:val="%1)"/>
      <w:lvlJc w:val="left"/>
      <w:pPr>
        <w:tabs>
          <w:tab w:val="left" w:pos="420"/>
        </w:tabs>
        <w:ind w:left="425" w:hanging="425"/>
      </w:pPr>
      <w:rPr>
        <w:rFonts w:hint="default"/>
      </w:rPr>
    </w:lvl>
  </w:abstractNum>
  <w:abstractNum w:abstractNumId="3" w15:restartNumberingAfterBreak="0">
    <w:nsid w:val="C4F632D2"/>
    <w:multiLevelType w:val="singleLevel"/>
    <w:tmpl w:val="C4F632D2"/>
    <w:lvl w:ilvl="0">
      <w:start w:val="1"/>
      <w:numFmt w:val="lowerLetter"/>
      <w:lvlText w:val="%1)"/>
      <w:lvlJc w:val="left"/>
      <w:pPr>
        <w:tabs>
          <w:tab w:val="left" w:pos="420"/>
        </w:tabs>
        <w:ind w:left="425" w:hanging="425"/>
      </w:pPr>
      <w:rPr>
        <w:rFonts w:hint="default"/>
      </w:rPr>
    </w:lvl>
  </w:abstractNum>
  <w:abstractNum w:abstractNumId="4" w15:restartNumberingAfterBreak="0">
    <w:nsid w:val="E0B930A8"/>
    <w:multiLevelType w:val="singleLevel"/>
    <w:tmpl w:val="E0B930A8"/>
    <w:lvl w:ilvl="0">
      <w:start w:val="1"/>
      <w:numFmt w:val="lowerLetter"/>
      <w:lvlText w:val="%1)"/>
      <w:lvlJc w:val="left"/>
      <w:pPr>
        <w:tabs>
          <w:tab w:val="left" w:pos="420"/>
        </w:tabs>
        <w:ind w:left="425" w:hanging="425"/>
      </w:pPr>
      <w:rPr>
        <w:rFonts w:hint="default"/>
      </w:rPr>
    </w:lvl>
  </w:abstractNum>
  <w:abstractNum w:abstractNumId="5" w15:restartNumberingAfterBreak="0">
    <w:nsid w:val="00000001"/>
    <w:multiLevelType w:val="multilevel"/>
    <w:tmpl w:val="00000001"/>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6" w15:restartNumberingAfterBreak="0">
    <w:nsid w:val="00000002"/>
    <w:multiLevelType w:val="multilevel"/>
    <w:tmpl w:val="00000002"/>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00000003"/>
    <w:multiLevelType w:val="multilevel"/>
    <w:tmpl w:val="00000003"/>
    <w:lvl w:ilvl="0">
      <w:numFmt w:val="none"/>
      <w:pStyle w:val="a1"/>
      <w:lvlText w:val=""/>
      <w:lvlJc w:val="left"/>
      <w:pPr>
        <w:tabs>
          <w:tab w:val="left" w:pos="360"/>
        </w:tabs>
      </w:p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8" w15:restartNumberingAfterBreak="0">
    <w:nsid w:val="00000004"/>
    <w:multiLevelType w:val="multilevel"/>
    <w:tmpl w:val="00000004"/>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9" w15:restartNumberingAfterBreak="0">
    <w:nsid w:val="00000005"/>
    <w:multiLevelType w:val="multilevel"/>
    <w:tmpl w:val="00000005"/>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0" w15:restartNumberingAfterBreak="0">
    <w:nsid w:val="00000006"/>
    <w:multiLevelType w:val="multilevel"/>
    <w:tmpl w:val="00000006"/>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00000007"/>
    <w:multiLevelType w:val="multilevel"/>
    <w:tmpl w:val="00000007"/>
    <w:lvl w:ilvl="0">
      <w:start w:val="1"/>
      <w:numFmt w:val="upperLetter"/>
      <w:pStyle w:val="a5"/>
      <w:suff w:val="space"/>
      <w:lvlText w:val="%1"/>
      <w:lvlJc w:val="left"/>
      <w:pPr>
        <w:ind w:left="623" w:hanging="425"/>
      </w:pPr>
      <w:rPr>
        <w:rFonts w:hint="eastAsia"/>
      </w:rPr>
    </w:lvl>
    <w:lvl w:ilvl="1">
      <w:start w:val="1"/>
      <w:numFmt w:val="decimal"/>
      <w:pStyle w:val="a6"/>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2" w15:restartNumberingAfterBreak="0">
    <w:nsid w:val="00000008"/>
    <w:multiLevelType w:val="multilevel"/>
    <w:tmpl w:val="00000008"/>
    <w:lvl w:ilvl="0">
      <w:numFmt w:val="none"/>
      <w:pStyle w:val="a7"/>
      <w:lvlText w:val=""/>
      <w:lvlJc w:val="left"/>
      <w:pPr>
        <w:tabs>
          <w:tab w:val="left" w:pos="360"/>
        </w:tabs>
      </w:pPr>
    </w:lvl>
    <w:lvl w:ilvl="1">
      <w:start w:val="1"/>
      <w:numFmt w:val="bullet"/>
      <w:pStyle w:val="a8"/>
      <w:lvlText w:val=""/>
      <w:lvlJc w:val="left"/>
      <w:pPr>
        <w:tabs>
          <w:tab w:val="left" w:pos="760"/>
        </w:tabs>
        <w:ind w:left="1264" w:hanging="413"/>
      </w:pPr>
      <w:rPr>
        <w:rFonts w:ascii="Symbol" w:hAnsi="Symbol" w:hint="default"/>
        <w:color w:val="auto"/>
      </w:rPr>
    </w:lvl>
    <w:lvl w:ilvl="2">
      <w:start w:val="1"/>
      <w:numFmt w:val="bullet"/>
      <w:pStyle w:val="a9"/>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0000000A"/>
    <w:multiLevelType w:val="multilevel"/>
    <w:tmpl w:val="0000000A"/>
    <w:lvl w:ilvl="0">
      <w:start w:val="1"/>
      <w:numFmt w:val="decimal"/>
      <w:pStyle w:val="aa"/>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4" w15:restartNumberingAfterBreak="0">
    <w:nsid w:val="0000000B"/>
    <w:multiLevelType w:val="multilevel"/>
    <w:tmpl w:val="0000000B"/>
    <w:lvl w:ilvl="0">
      <w:start w:val="1"/>
      <w:numFmt w:val="lowerLetter"/>
      <w:pStyle w:val="ab"/>
      <w:lvlText w:val="%1)"/>
      <w:lvlJc w:val="left"/>
      <w:pPr>
        <w:tabs>
          <w:tab w:val="left" w:pos="840"/>
        </w:tabs>
        <w:ind w:left="839" w:hanging="419"/>
      </w:pPr>
      <w:rPr>
        <w:rFonts w:ascii="宋体" w:eastAsia="宋体" w:hint="eastAsia"/>
        <w:b w:val="0"/>
        <w:i w:val="0"/>
        <w:sz w:val="21"/>
        <w:szCs w:val="21"/>
      </w:rPr>
    </w:lvl>
    <w:lvl w:ilvl="1">
      <w:start w:val="1"/>
      <w:numFmt w:val="decimal"/>
      <w:pStyle w:val="ac"/>
      <w:lvlText w:val="%2)"/>
      <w:lvlJc w:val="left"/>
      <w:pPr>
        <w:tabs>
          <w:tab w:val="left" w:pos="1260"/>
        </w:tabs>
        <w:ind w:left="1259" w:hanging="419"/>
      </w:pPr>
      <w:rPr>
        <w:rFonts w:hint="eastAsia"/>
      </w:rPr>
    </w:lvl>
    <w:lvl w:ilvl="2">
      <w:start w:val="1"/>
      <w:numFmt w:val="decimal"/>
      <w:pStyle w:val="ad"/>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0000000C"/>
    <w:multiLevelType w:val="multilevel"/>
    <w:tmpl w:val="0000000C"/>
    <w:lvl w:ilvl="0">
      <w:start w:val="1"/>
      <w:numFmt w:val="decimal"/>
      <w:pStyle w:val="ae"/>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6" w15:restartNumberingAfterBreak="0">
    <w:nsid w:val="0000000E"/>
    <w:multiLevelType w:val="multilevel"/>
    <w:tmpl w:val="0000000E"/>
    <w:lvl w:ilvl="0">
      <w:start w:val="1"/>
      <w:numFmt w:val="decimal"/>
      <w:pStyle w:val="af"/>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7" w15:restartNumberingAfterBreak="0">
    <w:nsid w:val="00000011"/>
    <w:multiLevelType w:val="multilevel"/>
    <w:tmpl w:val="00000011"/>
    <w:lvl w:ilvl="0">
      <w:start w:val="1"/>
      <w:numFmt w:val="upperLetter"/>
      <w:pStyle w:val="af0"/>
      <w:lvlText w:val="%1"/>
      <w:lvlJc w:val="left"/>
      <w:pPr>
        <w:tabs>
          <w:tab w:val="left" w:pos="0"/>
        </w:tabs>
        <w:ind w:left="0" w:hanging="425"/>
      </w:pPr>
      <w:rPr>
        <w:rFonts w:hint="eastAsia"/>
      </w:rPr>
    </w:lvl>
    <w:lvl w:ilvl="1">
      <w:start w:val="1"/>
      <w:numFmt w:val="decimal"/>
      <w:pStyle w:val="af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8" w15:restartNumberingAfterBreak="0">
    <w:nsid w:val="00000012"/>
    <w:multiLevelType w:val="multilevel"/>
    <w:tmpl w:val="00000012"/>
    <w:lvl w:ilvl="0">
      <w:start w:val="1"/>
      <w:numFmt w:val="decimal"/>
      <w:pStyle w:val="af2"/>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15:restartNumberingAfterBreak="0">
    <w:nsid w:val="00000015"/>
    <w:multiLevelType w:val="multilevel"/>
    <w:tmpl w:val="00000015"/>
    <w:lvl w:ilvl="0">
      <w:start w:val="1"/>
      <w:numFmt w:val="lowerLetter"/>
      <w:pStyle w:val="af3"/>
      <w:lvlText w:val="%1)"/>
      <w:lvlJc w:val="left"/>
      <w:pPr>
        <w:tabs>
          <w:tab w:val="left" w:pos="839"/>
        </w:tabs>
        <w:ind w:left="839" w:hanging="419"/>
      </w:pPr>
      <w:rPr>
        <w:rFonts w:ascii="宋体" w:eastAsia="宋体" w:hint="eastAsia"/>
        <w:b w:val="0"/>
        <w:i w:val="0"/>
        <w:sz w:val="21"/>
      </w:rPr>
    </w:lvl>
    <w:lvl w:ilvl="1">
      <w:start w:val="1"/>
      <w:numFmt w:val="decimal"/>
      <w:pStyle w:val="af4"/>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0" w15:restartNumberingAfterBreak="0">
    <w:nsid w:val="00000016"/>
    <w:multiLevelType w:val="multilevel"/>
    <w:tmpl w:val="00000016"/>
    <w:lvl w:ilvl="0">
      <w:numFmt w:val="none"/>
      <w:pStyle w:val="af5"/>
      <w:lvlText w:val=""/>
      <w:lvlJc w:val="left"/>
      <w:pPr>
        <w:tabs>
          <w:tab w:val="left" w:pos="360"/>
        </w:tabs>
      </w:p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1" w15:restartNumberingAfterBreak="0">
    <w:nsid w:val="06CFD4D7"/>
    <w:multiLevelType w:val="singleLevel"/>
    <w:tmpl w:val="06CFD4D7"/>
    <w:lvl w:ilvl="0">
      <w:start w:val="1"/>
      <w:numFmt w:val="lowerLetter"/>
      <w:lvlText w:val="%1)"/>
      <w:lvlJc w:val="left"/>
      <w:pPr>
        <w:tabs>
          <w:tab w:val="left" w:pos="420"/>
        </w:tabs>
        <w:ind w:left="425" w:hanging="425"/>
      </w:pPr>
      <w:rPr>
        <w:rFonts w:hint="default"/>
      </w:rPr>
    </w:lvl>
  </w:abstractNum>
  <w:abstractNum w:abstractNumId="22" w15:restartNumberingAfterBreak="0">
    <w:nsid w:val="2A095FA8"/>
    <w:multiLevelType w:val="singleLevel"/>
    <w:tmpl w:val="2A095FA8"/>
    <w:lvl w:ilvl="0">
      <w:start w:val="1"/>
      <w:numFmt w:val="lowerLetter"/>
      <w:lvlText w:val="%1)"/>
      <w:lvlJc w:val="left"/>
      <w:pPr>
        <w:tabs>
          <w:tab w:val="left" w:pos="420"/>
        </w:tabs>
        <w:ind w:left="425" w:hanging="425"/>
      </w:pPr>
      <w:rPr>
        <w:rFonts w:hint="default"/>
      </w:rPr>
    </w:lvl>
  </w:abstractNum>
  <w:abstractNum w:abstractNumId="23" w15:restartNumberingAfterBreak="0">
    <w:nsid w:val="450B713F"/>
    <w:multiLevelType w:val="multilevel"/>
    <w:tmpl w:val="450B713F"/>
    <w:lvl w:ilvl="0">
      <w:start w:val="1"/>
      <w:numFmt w:val="decimal"/>
      <w:pStyle w:val="1"/>
      <w:lvlText w:val="%1.0"/>
      <w:lvlJc w:val="left"/>
      <w:pPr>
        <w:tabs>
          <w:tab w:val="left" w:pos="941"/>
        </w:tabs>
        <w:ind w:left="941" w:hanging="941"/>
      </w:pPr>
      <w:rPr>
        <w:rFonts w:ascii="Times New Roman" w:hAnsi="Times New Roman" w:hint="default"/>
        <w:b/>
        <w:i w:val="0"/>
        <w:sz w:val="24"/>
      </w:rPr>
    </w:lvl>
    <w:lvl w:ilvl="1">
      <w:start w:val="1"/>
      <w:numFmt w:val="decimal"/>
      <w:lvlText w:val="%1.%2"/>
      <w:lvlJc w:val="left"/>
      <w:pPr>
        <w:tabs>
          <w:tab w:val="left" w:pos="941"/>
        </w:tabs>
        <w:ind w:left="941" w:hanging="941"/>
      </w:pPr>
      <w:rPr>
        <w:rFonts w:ascii="Times New Roman" w:hAnsi="Times New Roman" w:hint="default"/>
        <w:b w:val="0"/>
        <w:i w:val="0"/>
        <w:color w:val="000000"/>
        <w:sz w:val="24"/>
      </w:rPr>
    </w:lvl>
    <w:lvl w:ilvl="2">
      <w:start w:val="1"/>
      <w:numFmt w:val="decimal"/>
      <w:lvlText w:val="%1.%2.%3"/>
      <w:lvlJc w:val="left"/>
      <w:pPr>
        <w:tabs>
          <w:tab w:val="left" w:pos="941"/>
        </w:tabs>
        <w:ind w:left="941" w:hanging="941"/>
      </w:pPr>
      <w:rPr>
        <w:rFonts w:ascii="Times New Roman" w:hAnsi="Times New Roman" w:hint="default"/>
        <w:b w:val="0"/>
        <w:i w:val="0"/>
        <w:color w:val="000000"/>
        <w:sz w:val="24"/>
      </w:rPr>
    </w:lvl>
    <w:lvl w:ilvl="3">
      <w:start w:val="1"/>
      <w:numFmt w:val="decimal"/>
      <w:lvlText w:val="%1.%2.%3.%4"/>
      <w:lvlJc w:val="left"/>
      <w:pPr>
        <w:tabs>
          <w:tab w:val="left" w:pos="941"/>
        </w:tabs>
        <w:ind w:left="941" w:hanging="941"/>
      </w:pPr>
      <w:rPr>
        <w:rFonts w:ascii="Times New Roman" w:hAnsi="Times New Roman" w:hint="default"/>
        <w:b w:val="0"/>
        <w:i w:val="0"/>
        <w:sz w:val="24"/>
      </w:rPr>
    </w:lvl>
    <w:lvl w:ilvl="4">
      <w:start w:val="1"/>
      <w:numFmt w:val="decimal"/>
      <w:lvlText w:val="%1.%2.%3.%4.%5"/>
      <w:lvlJc w:val="left"/>
      <w:pPr>
        <w:tabs>
          <w:tab w:val="left" w:pos="2780"/>
        </w:tabs>
        <w:ind w:left="2156" w:hanging="456"/>
      </w:pPr>
      <w:rPr>
        <w:rFonts w:ascii="Times New Roman" w:hAnsi="Times New Roman" w:hint="default"/>
        <w:b w:val="0"/>
        <w:i w:val="0"/>
        <w:sz w:val="24"/>
      </w:rPr>
    </w:lvl>
    <w:lvl w:ilvl="5">
      <w:start w:val="1"/>
      <w:numFmt w:val="decimal"/>
      <w:lvlText w:val="%1.%2.%3.%4.%5.%6"/>
      <w:lvlJc w:val="left"/>
      <w:pPr>
        <w:tabs>
          <w:tab w:val="left" w:pos="2581"/>
        </w:tabs>
        <w:ind w:left="2581" w:hanging="456"/>
      </w:pPr>
      <w:rPr>
        <w:rFonts w:hint="eastAsia"/>
      </w:rPr>
    </w:lvl>
    <w:lvl w:ilvl="6">
      <w:start w:val="1"/>
      <w:numFmt w:val="decimal"/>
      <w:lvlText w:val="%1.%2.%3.%4.%5.%6.%7"/>
      <w:lvlJc w:val="left"/>
      <w:pPr>
        <w:tabs>
          <w:tab w:val="left" w:pos="3006"/>
        </w:tabs>
        <w:ind w:left="3006" w:hanging="456"/>
      </w:pPr>
      <w:rPr>
        <w:rFonts w:hint="eastAsia"/>
      </w:rPr>
    </w:lvl>
    <w:lvl w:ilvl="7">
      <w:start w:val="1"/>
      <w:numFmt w:val="decimal"/>
      <w:lvlText w:val="%1.%2.%3.%4.%5.%6.%7.%8"/>
      <w:lvlJc w:val="left"/>
      <w:pPr>
        <w:tabs>
          <w:tab w:val="left" w:pos="3431"/>
        </w:tabs>
        <w:ind w:left="3431" w:hanging="456"/>
      </w:pPr>
      <w:rPr>
        <w:rFonts w:hint="eastAsia"/>
      </w:rPr>
    </w:lvl>
    <w:lvl w:ilvl="8">
      <w:start w:val="1"/>
      <w:numFmt w:val="decimal"/>
      <w:lvlText w:val="%1.%2.%3.%4.%5.%6.%7.%8.%9"/>
      <w:lvlJc w:val="left"/>
      <w:pPr>
        <w:tabs>
          <w:tab w:val="left" w:pos="3856"/>
        </w:tabs>
        <w:ind w:left="3856" w:hanging="456"/>
      </w:pPr>
      <w:rPr>
        <w:rFonts w:hint="eastAsia"/>
      </w:rPr>
    </w:lvl>
  </w:abstractNum>
  <w:abstractNum w:abstractNumId="24" w15:restartNumberingAfterBreak="0">
    <w:nsid w:val="60EB03DB"/>
    <w:multiLevelType w:val="singleLevel"/>
    <w:tmpl w:val="60EB03DB"/>
    <w:lvl w:ilvl="0">
      <w:start w:val="1"/>
      <w:numFmt w:val="lowerLetter"/>
      <w:lvlText w:val="%1)"/>
      <w:lvlJc w:val="left"/>
      <w:pPr>
        <w:tabs>
          <w:tab w:val="left" w:pos="420"/>
        </w:tabs>
        <w:ind w:left="425" w:hanging="425"/>
      </w:pPr>
      <w:rPr>
        <w:rFonts w:hint="default"/>
      </w:rPr>
    </w:lvl>
  </w:abstractNum>
  <w:abstractNum w:abstractNumId="25" w15:restartNumberingAfterBreak="0">
    <w:nsid w:val="6296F9B6"/>
    <w:multiLevelType w:val="singleLevel"/>
    <w:tmpl w:val="6296F9B6"/>
    <w:lvl w:ilvl="0">
      <w:start w:val="1"/>
      <w:numFmt w:val="lowerLetter"/>
      <w:lvlText w:val="%1)"/>
      <w:lvlJc w:val="left"/>
      <w:pPr>
        <w:tabs>
          <w:tab w:val="left" w:pos="420"/>
        </w:tabs>
        <w:ind w:left="425" w:hanging="425"/>
      </w:pPr>
      <w:rPr>
        <w:rFonts w:hint="default"/>
      </w:rPr>
    </w:lvl>
  </w:abstractNum>
  <w:abstractNum w:abstractNumId="26" w15:restartNumberingAfterBreak="0">
    <w:nsid w:val="76FFC7CC"/>
    <w:multiLevelType w:val="singleLevel"/>
    <w:tmpl w:val="76FFC7CC"/>
    <w:lvl w:ilvl="0">
      <w:start w:val="1"/>
      <w:numFmt w:val="lowerLetter"/>
      <w:lvlText w:val="%1)"/>
      <w:lvlJc w:val="left"/>
      <w:pPr>
        <w:tabs>
          <w:tab w:val="left" w:pos="420"/>
        </w:tabs>
        <w:ind w:left="425" w:hanging="425"/>
      </w:pPr>
      <w:rPr>
        <w:rFonts w:hint="default"/>
      </w:rPr>
    </w:lvl>
  </w:abstractNum>
  <w:num w:numId="1" w16cid:durableId="838808118">
    <w:abstractNumId w:val="13"/>
  </w:num>
  <w:num w:numId="2" w16cid:durableId="994066652">
    <w:abstractNumId w:val="20"/>
  </w:num>
  <w:num w:numId="3" w16cid:durableId="1420639177">
    <w:abstractNumId w:val="9"/>
  </w:num>
  <w:num w:numId="4" w16cid:durableId="1143154319">
    <w:abstractNumId w:val="10"/>
  </w:num>
  <w:num w:numId="5" w16cid:durableId="1369066596">
    <w:abstractNumId w:val="11"/>
  </w:num>
  <w:num w:numId="6" w16cid:durableId="1597254061">
    <w:abstractNumId w:val="12"/>
  </w:num>
  <w:num w:numId="7" w16cid:durableId="149827889">
    <w:abstractNumId w:val="14"/>
  </w:num>
  <w:num w:numId="8" w16cid:durableId="734738332">
    <w:abstractNumId w:val="17"/>
  </w:num>
  <w:num w:numId="9" w16cid:durableId="1399205542">
    <w:abstractNumId w:val="16"/>
  </w:num>
  <w:num w:numId="10" w16cid:durableId="1981572910">
    <w:abstractNumId w:val="19"/>
  </w:num>
  <w:num w:numId="11" w16cid:durableId="626469325">
    <w:abstractNumId w:val="7"/>
  </w:num>
  <w:num w:numId="12" w16cid:durableId="956833893">
    <w:abstractNumId w:val="5"/>
  </w:num>
  <w:num w:numId="13" w16cid:durableId="968051475">
    <w:abstractNumId w:val="15"/>
  </w:num>
  <w:num w:numId="14" w16cid:durableId="1911500998">
    <w:abstractNumId w:val="6"/>
  </w:num>
  <w:num w:numId="15" w16cid:durableId="822626218">
    <w:abstractNumId w:val="8"/>
  </w:num>
  <w:num w:numId="16" w16cid:durableId="294876011">
    <w:abstractNumId w:val="18"/>
  </w:num>
  <w:num w:numId="17" w16cid:durableId="335772797">
    <w:abstractNumId w:val="23"/>
  </w:num>
  <w:num w:numId="18" w16cid:durableId="694158747">
    <w:abstractNumId w:val="26"/>
  </w:num>
  <w:num w:numId="19" w16cid:durableId="939877261">
    <w:abstractNumId w:val="1"/>
  </w:num>
  <w:num w:numId="20" w16cid:durableId="781921063">
    <w:abstractNumId w:val="4"/>
  </w:num>
  <w:num w:numId="21" w16cid:durableId="685250607">
    <w:abstractNumId w:val="25"/>
  </w:num>
  <w:num w:numId="22" w16cid:durableId="648484153">
    <w:abstractNumId w:val="3"/>
  </w:num>
  <w:num w:numId="23" w16cid:durableId="433867599">
    <w:abstractNumId w:val="0"/>
  </w:num>
  <w:num w:numId="24" w16cid:durableId="1302661002">
    <w:abstractNumId w:val="2"/>
  </w:num>
  <w:num w:numId="25" w16cid:durableId="2013098592">
    <w:abstractNumId w:val="24"/>
  </w:num>
  <w:num w:numId="26" w16cid:durableId="805123453">
    <w:abstractNumId w:val="22"/>
  </w:num>
  <w:num w:numId="27" w16cid:durableId="19412406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oNotShadeFormData/>
  <w:noPunctuationKerning/>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YwMTVkOWJlMGRjOGVkY2U1M2IwZTJhOWI5NTZjNGUifQ=="/>
  </w:docVars>
  <w:rsids>
    <w:rsidRoot w:val="00172A27"/>
    <w:rsid w:val="00000244"/>
    <w:rsid w:val="0000185F"/>
    <w:rsid w:val="0000586F"/>
    <w:rsid w:val="00007C45"/>
    <w:rsid w:val="00013D86"/>
    <w:rsid w:val="00013E02"/>
    <w:rsid w:val="00014C62"/>
    <w:rsid w:val="000202D8"/>
    <w:rsid w:val="0002143C"/>
    <w:rsid w:val="00025A65"/>
    <w:rsid w:val="00026C31"/>
    <w:rsid w:val="00027280"/>
    <w:rsid w:val="00030418"/>
    <w:rsid w:val="000320A7"/>
    <w:rsid w:val="00032210"/>
    <w:rsid w:val="00032B27"/>
    <w:rsid w:val="000339D9"/>
    <w:rsid w:val="0003564C"/>
    <w:rsid w:val="00035925"/>
    <w:rsid w:val="00042981"/>
    <w:rsid w:val="000607A3"/>
    <w:rsid w:val="0006277A"/>
    <w:rsid w:val="00067CDF"/>
    <w:rsid w:val="000712D5"/>
    <w:rsid w:val="0007238A"/>
    <w:rsid w:val="000731BD"/>
    <w:rsid w:val="00073B8B"/>
    <w:rsid w:val="00074FBE"/>
    <w:rsid w:val="00083A09"/>
    <w:rsid w:val="0009005E"/>
    <w:rsid w:val="00092857"/>
    <w:rsid w:val="000931A1"/>
    <w:rsid w:val="00096078"/>
    <w:rsid w:val="000968EF"/>
    <w:rsid w:val="000A20A9"/>
    <w:rsid w:val="000A4611"/>
    <w:rsid w:val="000A48B1"/>
    <w:rsid w:val="000A5226"/>
    <w:rsid w:val="000B3143"/>
    <w:rsid w:val="000B7F78"/>
    <w:rsid w:val="000C356B"/>
    <w:rsid w:val="000C6B05"/>
    <w:rsid w:val="000C6DD6"/>
    <w:rsid w:val="000C729C"/>
    <w:rsid w:val="000C73D4"/>
    <w:rsid w:val="000D3786"/>
    <w:rsid w:val="000D3D4C"/>
    <w:rsid w:val="000D4F51"/>
    <w:rsid w:val="000D718B"/>
    <w:rsid w:val="000E0C46"/>
    <w:rsid w:val="000E3CE7"/>
    <w:rsid w:val="000E578F"/>
    <w:rsid w:val="000F030C"/>
    <w:rsid w:val="000F129C"/>
    <w:rsid w:val="000F27F5"/>
    <w:rsid w:val="000F3362"/>
    <w:rsid w:val="000F3B87"/>
    <w:rsid w:val="0010082B"/>
    <w:rsid w:val="001038EF"/>
    <w:rsid w:val="001056DE"/>
    <w:rsid w:val="00111A2B"/>
    <w:rsid w:val="001124C0"/>
    <w:rsid w:val="00115B66"/>
    <w:rsid w:val="00121087"/>
    <w:rsid w:val="001253F6"/>
    <w:rsid w:val="00126F80"/>
    <w:rsid w:val="00130DA9"/>
    <w:rsid w:val="0013175F"/>
    <w:rsid w:val="00132B09"/>
    <w:rsid w:val="00142F83"/>
    <w:rsid w:val="00143F2D"/>
    <w:rsid w:val="001512B4"/>
    <w:rsid w:val="00155F3F"/>
    <w:rsid w:val="00160040"/>
    <w:rsid w:val="00160E5E"/>
    <w:rsid w:val="0016157D"/>
    <w:rsid w:val="001620A5"/>
    <w:rsid w:val="00164E53"/>
    <w:rsid w:val="0016699D"/>
    <w:rsid w:val="0017149E"/>
    <w:rsid w:val="00171594"/>
    <w:rsid w:val="00172A27"/>
    <w:rsid w:val="00175159"/>
    <w:rsid w:val="001759E2"/>
    <w:rsid w:val="00176208"/>
    <w:rsid w:val="0018211B"/>
    <w:rsid w:val="001840D3"/>
    <w:rsid w:val="00184CEE"/>
    <w:rsid w:val="001900F8"/>
    <w:rsid w:val="00191258"/>
    <w:rsid w:val="00191AA5"/>
    <w:rsid w:val="00192680"/>
    <w:rsid w:val="00193037"/>
    <w:rsid w:val="00193A2C"/>
    <w:rsid w:val="00194A79"/>
    <w:rsid w:val="00194CB0"/>
    <w:rsid w:val="001964E6"/>
    <w:rsid w:val="001A288E"/>
    <w:rsid w:val="001A64F5"/>
    <w:rsid w:val="001A7C59"/>
    <w:rsid w:val="001B3557"/>
    <w:rsid w:val="001B6DC2"/>
    <w:rsid w:val="001B75A4"/>
    <w:rsid w:val="001C13AA"/>
    <w:rsid w:val="001C149C"/>
    <w:rsid w:val="001C21AC"/>
    <w:rsid w:val="001C47BA"/>
    <w:rsid w:val="001C59EA"/>
    <w:rsid w:val="001D406C"/>
    <w:rsid w:val="001D41EE"/>
    <w:rsid w:val="001D7FFB"/>
    <w:rsid w:val="001E0380"/>
    <w:rsid w:val="001E12C6"/>
    <w:rsid w:val="001E13B1"/>
    <w:rsid w:val="001E1FEC"/>
    <w:rsid w:val="001E793A"/>
    <w:rsid w:val="001F3A19"/>
    <w:rsid w:val="001F7A7D"/>
    <w:rsid w:val="00202C73"/>
    <w:rsid w:val="002041DE"/>
    <w:rsid w:val="00212DAB"/>
    <w:rsid w:val="00216648"/>
    <w:rsid w:val="0022343A"/>
    <w:rsid w:val="00226FF1"/>
    <w:rsid w:val="0023137A"/>
    <w:rsid w:val="00234467"/>
    <w:rsid w:val="00236124"/>
    <w:rsid w:val="00237D8D"/>
    <w:rsid w:val="00241DA2"/>
    <w:rsid w:val="00246648"/>
    <w:rsid w:val="00246D32"/>
    <w:rsid w:val="00246E7C"/>
    <w:rsid w:val="00247FEE"/>
    <w:rsid w:val="00250E7D"/>
    <w:rsid w:val="002565D5"/>
    <w:rsid w:val="002622C0"/>
    <w:rsid w:val="0026620C"/>
    <w:rsid w:val="002705D0"/>
    <w:rsid w:val="00271C34"/>
    <w:rsid w:val="00274656"/>
    <w:rsid w:val="002778AE"/>
    <w:rsid w:val="0028269A"/>
    <w:rsid w:val="00283590"/>
    <w:rsid w:val="00286973"/>
    <w:rsid w:val="00290BA1"/>
    <w:rsid w:val="00294E70"/>
    <w:rsid w:val="002A1924"/>
    <w:rsid w:val="002A449A"/>
    <w:rsid w:val="002A7420"/>
    <w:rsid w:val="002B0F12"/>
    <w:rsid w:val="002B1308"/>
    <w:rsid w:val="002B4554"/>
    <w:rsid w:val="002C72D8"/>
    <w:rsid w:val="002D11FA"/>
    <w:rsid w:val="002D408D"/>
    <w:rsid w:val="002E0DDF"/>
    <w:rsid w:val="002E19E3"/>
    <w:rsid w:val="002E2906"/>
    <w:rsid w:val="002E42AE"/>
    <w:rsid w:val="002E5635"/>
    <w:rsid w:val="002E64C3"/>
    <w:rsid w:val="002E6A2C"/>
    <w:rsid w:val="002E76F4"/>
    <w:rsid w:val="002E7E1E"/>
    <w:rsid w:val="002F0BE8"/>
    <w:rsid w:val="002F1D8C"/>
    <w:rsid w:val="002F21DA"/>
    <w:rsid w:val="002F34D0"/>
    <w:rsid w:val="00301F39"/>
    <w:rsid w:val="00304B3E"/>
    <w:rsid w:val="00306022"/>
    <w:rsid w:val="00313610"/>
    <w:rsid w:val="00317C31"/>
    <w:rsid w:val="00323DA2"/>
    <w:rsid w:val="00324E85"/>
    <w:rsid w:val="00325926"/>
    <w:rsid w:val="0032733E"/>
    <w:rsid w:val="00327A8A"/>
    <w:rsid w:val="0033062B"/>
    <w:rsid w:val="00333562"/>
    <w:rsid w:val="00336610"/>
    <w:rsid w:val="00337697"/>
    <w:rsid w:val="00340F87"/>
    <w:rsid w:val="00341190"/>
    <w:rsid w:val="00343F73"/>
    <w:rsid w:val="00345060"/>
    <w:rsid w:val="0035323B"/>
    <w:rsid w:val="00355682"/>
    <w:rsid w:val="003609D2"/>
    <w:rsid w:val="00363F22"/>
    <w:rsid w:val="00365BF9"/>
    <w:rsid w:val="00371B5C"/>
    <w:rsid w:val="00375564"/>
    <w:rsid w:val="0038080E"/>
    <w:rsid w:val="00383191"/>
    <w:rsid w:val="00386DED"/>
    <w:rsid w:val="00387882"/>
    <w:rsid w:val="0039082B"/>
    <w:rsid w:val="003912E7"/>
    <w:rsid w:val="00393947"/>
    <w:rsid w:val="003A2275"/>
    <w:rsid w:val="003A6A4F"/>
    <w:rsid w:val="003A7088"/>
    <w:rsid w:val="003B00DF"/>
    <w:rsid w:val="003B1275"/>
    <w:rsid w:val="003B1778"/>
    <w:rsid w:val="003B7F20"/>
    <w:rsid w:val="003C11CB"/>
    <w:rsid w:val="003C12BF"/>
    <w:rsid w:val="003C422F"/>
    <w:rsid w:val="003C729A"/>
    <w:rsid w:val="003C75F3"/>
    <w:rsid w:val="003C78A3"/>
    <w:rsid w:val="003E0BB0"/>
    <w:rsid w:val="003E1867"/>
    <w:rsid w:val="003E4DF1"/>
    <w:rsid w:val="003E5729"/>
    <w:rsid w:val="003F3441"/>
    <w:rsid w:val="003F4EE0"/>
    <w:rsid w:val="00400D6E"/>
    <w:rsid w:val="00402153"/>
    <w:rsid w:val="00402FC1"/>
    <w:rsid w:val="004033D7"/>
    <w:rsid w:val="0041094D"/>
    <w:rsid w:val="004137A0"/>
    <w:rsid w:val="004164D6"/>
    <w:rsid w:val="004169A5"/>
    <w:rsid w:val="00422BD1"/>
    <w:rsid w:val="00425082"/>
    <w:rsid w:val="00425883"/>
    <w:rsid w:val="00431DEB"/>
    <w:rsid w:val="004344B3"/>
    <w:rsid w:val="004405D4"/>
    <w:rsid w:val="00446B29"/>
    <w:rsid w:val="00447A24"/>
    <w:rsid w:val="00450484"/>
    <w:rsid w:val="00453F9A"/>
    <w:rsid w:val="00454F1B"/>
    <w:rsid w:val="00455E3E"/>
    <w:rsid w:val="004567F9"/>
    <w:rsid w:val="00460EE2"/>
    <w:rsid w:val="00463FA2"/>
    <w:rsid w:val="004641DC"/>
    <w:rsid w:val="00465631"/>
    <w:rsid w:val="00465EB3"/>
    <w:rsid w:val="00471E91"/>
    <w:rsid w:val="0047370B"/>
    <w:rsid w:val="00474675"/>
    <w:rsid w:val="0047470C"/>
    <w:rsid w:val="00477A37"/>
    <w:rsid w:val="00480EE2"/>
    <w:rsid w:val="0048357C"/>
    <w:rsid w:val="004835DD"/>
    <w:rsid w:val="00486A08"/>
    <w:rsid w:val="00491A34"/>
    <w:rsid w:val="004A2EDA"/>
    <w:rsid w:val="004A35F9"/>
    <w:rsid w:val="004A64D8"/>
    <w:rsid w:val="004A6D48"/>
    <w:rsid w:val="004B24C1"/>
    <w:rsid w:val="004B2758"/>
    <w:rsid w:val="004B4CB3"/>
    <w:rsid w:val="004B7110"/>
    <w:rsid w:val="004C292F"/>
    <w:rsid w:val="004C789B"/>
    <w:rsid w:val="004D1056"/>
    <w:rsid w:val="004D3EFC"/>
    <w:rsid w:val="004E2448"/>
    <w:rsid w:val="004F18DE"/>
    <w:rsid w:val="004F22EF"/>
    <w:rsid w:val="00510280"/>
    <w:rsid w:val="00510FB4"/>
    <w:rsid w:val="00511F29"/>
    <w:rsid w:val="00513D73"/>
    <w:rsid w:val="00514A43"/>
    <w:rsid w:val="005174E5"/>
    <w:rsid w:val="00521C06"/>
    <w:rsid w:val="00522393"/>
    <w:rsid w:val="00522620"/>
    <w:rsid w:val="00525656"/>
    <w:rsid w:val="005309DA"/>
    <w:rsid w:val="00534C02"/>
    <w:rsid w:val="005417F4"/>
    <w:rsid w:val="00541D7B"/>
    <w:rsid w:val="0054264B"/>
    <w:rsid w:val="00542E76"/>
    <w:rsid w:val="00543786"/>
    <w:rsid w:val="00544A13"/>
    <w:rsid w:val="0054648B"/>
    <w:rsid w:val="005533D7"/>
    <w:rsid w:val="00554724"/>
    <w:rsid w:val="00560822"/>
    <w:rsid w:val="00562639"/>
    <w:rsid w:val="005645B8"/>
    <w:rsid w:val="00565A24"/>
    <w:rsid w:val="005703DE"/>
    <w:rsid w:val="0058464E"/>
    <w:rsid w:val="005851C6"/>
    <w:rsid w:val="005A01CB"/>
    <w:rsid w:val="005A58FF"/>
    <w:rsid w:val="005A5EAF"/>
    <w:rsid w:val="005A64C0"/>
    <w:rsid w:val="005B1EA5"/>
    <w:rsid w:val="005B262D"/>
    <w:rsid w:val="005B3C11"/>
    <w:rsid w:val="005C1C28"/>
    <w:rsid w:val="005C6B16"/>
    <w:rsid w:val="005C6DB5"/>
    <w:rsid w:val="005D36D6"/>
    <w:rsid w:val="005D6CD7"/>
    <w:rsid w:val="005D745B"/>
    <w:rsid w:val="005E0A1E"/>
    <w:rsid w:val="005E18C7"/>
    <w:rsid w:val="005E19E7"/>
    <w:rsid w:val="005F40B5"/>
    <w:rsid w:val="005F72C4"/>
    <w:rsid w:val="006010E2"/>
    <w:rsid w:val="006018F6"/>
    <w:rsid w:val="006043B6"/>
    <w:rsid w:val="00606E65"/>
    <w:rsid w:val="00607F74"/>
    <w:rsid w:val="00614A56"/>
    <w:rsid w:val="0061716C"/>
    <w:rsid w:val="00620D92"/>
    <w:rsid w:val="006243A1"/>
    <w:rsid w:val="00627ED3"/>
    <w:rsid w:val="00632E56"/>
    <w:rsid w:val="00635AB6"/>
    <w:rsid w:val="00635CBA"/>
    <w:rsid w:val="006431F7"/>
    <w:rsid w:val="0064338B"/>
    <w:rsid w:val="00646542"/>
    <w:rsid w:val="006504F4"/>
    <w:rsid w:val="00651DF0"/>
    <w:rsid w:val="00654BC9"/>
    <w:rsid w:val="006552FD"/>
    <w:rsid w:val="0065741F"/>
    <w:rsid w:val="00663AF3"/>
    <w:rsid w:val="00666B6C"/>
    <w:rsid w:val="00676D24"/>
    <w:rsid w:val="00681EA7"/>
    <w:rsid w:val="00682682"/>
    <w:rsid w:val="00682702"/>
    <w:rsid w:val="00686642"/>
    <w:rsid w:val="00692368"/>
    <w:rsid w:val="006971EA"/>
    <w:rsid w:val="006A2EBC"/>
    <w:rsid w:val="006A3A55"/>
    <w:rsid w:val="006A569C"/>
    <w:rsid w:val="006A5EA0"/>
    <w:rsid w:val="006A783B"/>
    <w:rsid w:val="006A7B33"/>
    <w:rsid w:val="006B4E13"/>
    <w:rsid w:val="006B75DD"/>
    <w:rsid w:val="006C3D37"/>
    <w:rsid w:val="006C6141"/>
    <w:rsid w:val="006C67E0"/>
    <w:rsid w:val="006C7ABA"/>
    <w:rsid w:val="006C7F43"/>
    <w:rsid w:val="006D0D60"/>
    <w:rsid w:val="006D1122"/>
    <w:rsid w:val="006D1180"/>
    <w:rsid w:val="006D3C00"/>
    <w:rsid w:val="006E3675"/>
    <w:rsid w:val="006E3A1F"/>
    <w:rsid w:val="006E4A7F"/>
    <w:rsid w:val="006E4CEE"/>
    <w:rsid w:val="006F1969"/>
    <w:rsid w:val="006F2A08"/>
    <w:rsid w:val="006F2F8A"/>
    <w:rsid w:val="00704DF6"/>
    <w:rsid w:val="0070651C"/>
    <w:rsid w:val="00707052"/>
    <w:rsid w:val="00711D9D"/>
    <w:rsid w:val="007132A3"/>
    <w:rsid w:val="00716421"/>
    <w:rsid w:val="00717C24"/>
    <w:rsid w:val="00724EFB"/>
    <w:rsid w:val="007265AD"/>
    <w:rsid w:val="00734142"/>
    <w:rsid w:val="0074025B"/>
    <w:rsid w:val="007419C3"/>
    <w:rsid w:val="007467A7"/>
    <w:rsid w:val="007469DD"/>
    <w:rsid w:val="0074741B"/>
    <w:rsid w:val="0074759E"/>
    <w:rsid w:val="007478EA"/>
    <w:rsid w:val="00753589"/>
    <w:rsid w:val="0075415C"/>
    <w:rsid w:val="00763502"/>
    <w:rsid w:val="007672FF"/>
    <w:rsid w:val="00770FC1"/>
    <w:rsid w:val="00772074"/>
    <w:rsid w:val="0078212D"/>
    <w:rsid w:val="00782FF4"/>
    <w:rsid w:val="00784879"/>
    <w:rsid w:val="00786D1B"/>
    <w:rsid w:val="00787355"/>
    <w:rsid w:val="007913AB"/>
    <w:rsid w:val="007914F7"/>
    <w:rsid w:val="00792A05"/>
    <w:rsid w:val="007965AF"/>
    <w:rsid w:val="007A6FE7"/>
    <w:rsid w:val="007B1625"/>
    <w:rsid w:val="007B2336"/>
    <w:rsid w:val="007B66B8"/>
    <w:rsid w:val="007B706E"/>
    <w:rsid w:val="007B71EB"/>
    <w:rsid w:val="007B7FEE"/>
    <w:rsid w:val="007C6205"/>
    <w:rsid w:val="007C686A"/>
    <w:rsid w:val="007C728E"/>
    <w:rsid w:val="007D2C53"/>
    <w:rsid w:val="007D3D60"/>
    <w:rsid w:val="007D4A51"/>
    <w:rsid w:val="007D6124"/>
    <w:rsid w:val="007D6296"/>
    <w:rsid w:val="007D770B"/>
    <w:rsid w:val="007E05DB"/>
    <w:rsid w:val="007E1980"/>
    <w:rsid w:val="007E2C28"/>
    <w:rsid w:val="007E4B76"/>
    <w:rsid w:val="007E5EA8"/>
    <w:rsid w:val="007E78A7"/>
    <w:rsid w:val="007F0CF1"/>
    <w:rsid w:val="007F12A5"/>
    <w:rsid w:val="007F4CF1"/>
    <w:rsid w:val="007F6ADE"/>
    <w:rsid w:val="007F758D"/>
    <w:rsid w:val="007F7D52"/>
    <w:rsid w:val="007F7EC2"/>
    <w:rsid w:val="00800E1E"/>
    <w:rsid w:val="008019D8"/>
    <w:rsid w:val="00802444"/>
    <w:rsid w:val="00802DCA"/>
    <w:rsid w:val="008037A6"/>
    <w:rsid w:val="0080654C"/>
    <w:rsid w:val="008071C6"/>
    <w:rsid w:val="008124DD"/>
    <w:rsid w:val="00813678"/>
    <w:rsid w:val="00813CD4"/>
    <w:rsid w:val="00815B64"/>
    <w:rsid w:val="00817A00"/>
    <w:rsid w:val="008233AB"/>
    <w:rsid w:val="00830973"/>
    <w:rsid w:val="00835DB3"/>
    <w:rsid w:val="0083617B"/>
    <w:rsid w:val="008371BD"/>
    <w:rsid w:val="00846CEB"/>
    <w:rsid w:val="00847144"/>
    <w:rsid w:val="0085030F"/>
    <w:rsid w:val="008504A8"/>
    <w:rsid w:val="0085282E"/>
    <w:rsid w:val="00852915"/>
    <w:rsid w:val="00854506"/>
    <w:rsid w:val="00857D9C"/>
    <w:rsid w:val="008609F9"/>
    <w:rsid w:val="00867A23"/>
    <w:rsid w:val="0087198C"/>
    <w:rsid w:val="00872C1F"/>
    <w:rsid w:val="00873B42"/>
    <w:rsid w:val="00875ADC"/>
    <w:rsid w:val="008849B2"/>
    <w:rsid w:val="008856D8"/>
    <w:rsid w:val="00886134"/>
    <w:rsid w:val="00891226"/>
    <w:rsid w:val="00892E82"/>
    <w:rsid w:val="008A58AE"/>
    <w:rsid w:val="008B50E2"/>
    <w:rsid w:val="008C1B58"/>
    <w:rsid w:val="008C2FE9"/>
    <w:rsid w:val="008C39AE"/>
    <w:rsid w:val="008C590D"/>
    <w:rsid w:val="008D3A2B"/>
    <w:rsid w:val="008E031B"/>
    <w:rsid w:val="008E4EB6"/>
    <w:rsid w:val="008E6CD6"/>
    <w:rsid w:val="008E7029"/>
    <w:rsid w:val="008E7EF6"/>
    <w:rsid w:val="008F1F98"/>
    <w:rsid w:val="008F406D"/>
    <w:rsid w:val="008F47E9"/>
    <w:rsid w:val="008F63D8"/>
    <w:rsid w:val="008F6758"/>
    <w:rsid w:val="008F6B68"/>
    <w:rsid w:val="008F77CC"/>
    <w:rsid w:val="00903D89"/>
    <w:rsid w:val="009040DD"/>
    <w:rsid w:val="00904E1F"/>
    <w:rsid w:val="00905B47"/>
    <w:rsid w:val="0091331C"/>
    <w:rsid w:val="00916366"/>
    <w:rsid w:val="0091731D"/>
    <w:rsid w:val="00920F60"/>
    <w:rsid w:val="009251E0"/>
    <w:rsid w:val="009279DE"/>
    <w:rsid w:val="00930116"/>
    <w:rsid w:val="009350EE"/>
    <w:rsid w:val="0094212C"/>
    <w:rsid w:val="00943F97"/>
    <w:rsid w:val="00947F82"/>
    <w:rsid w:val="00954689"/>
    <w:rsid w:val="009569D1"/>
    <w:rsid w:val="009617C9"/>
    <w:rsid w:val="00961C93"/>
    <w:rsid w:val="00963D17"/>
    <w:rsid w:val="00965324"/>
    <w:rsid w:val="0097091E"/>
    <w:rsid w:val="00971610"/>
    <w:rsid w:val="009760D3"/>
    <w:rsid w:val="00977132"/>
    <w:rsid w:val="00981A4B"/>
    <w:rsid w:val="00982501"/>
    <w:rsid w:val="009855D3"/>
    <w:rsid w:val="009877D3"/>
    <w:rsid w:val="00994E8F"/>
    <w:rsid w:val="009951DC"/>
    <w:rsid w:val="009959BB"/>
    <w:rsid w:val="009967C0"/>
    <w:rsid w:val="00997158"/>
    <w:rsid w:val="009A2CE1"/>
    <w:rsid w:val="009A3A7C"/>
    <w:rsid w:val="009A3C46"/>
    <w:rsid w:val="009A6B94"/>
    <w:rsid w:val="009B1C4E"/>
    <w:rsid w:val="009B2ADB"/>
    <w:rsid w:val="009B603A"/>
    <w:rsid w:val="009B6CF8"/>
    <w:rsid w:val="009C2259"/>
    <w:rsid w:val="009C2D0E"/>
    <w:rsid w:val="009C3DAC"/>
    <w:rsid w:val="009C42E0"/>
    <w:rsid w:val="009C7AB3"/>
    <w:rsid w:val="009D5362"/>
    <w:rsid w:val="009E1415"/>
    <w:rsid w:val="009E24AB"/>
    <w:rsid w:val="009E6116"/>
    <w:rsid w:val="00A02E43"/>
    <w:rsid w:val="00A04651"/>
    <w:rsid w:val="00A04B27"/>
    <w:rsid w:val="00A065F9"/>
    <w:rsid w:val="00A07F34"/>
    <w:rsid w:val="00A1149C"/>
    <w:rsid w:val="00A1210A"/>
    <w:rsid w:val="00A146DA"/>
    <w:rsid w:val="00A21316"/>
    <w:rsid w:val="00A22154"/>
    <w:rsid w:val="00A25C38"/>
    <w:rsid w:val="00A2619F"/>
    <w:rsid w:val="00A35C0E"/>
    <w:rsid w:val="00A36BBE"/>
    <w:rsid w:val="00A4307A"/>
    <w:rsid w:val="00A43A28"/>
    <w:rsid w:val="00A45FCB"/>
    <w:rsid w:val="00A47EBB"/>
    <w:rsid w:val="00A51CDD"/>
    <w:rsid w:val="00A5641C"/>
    <w:rsid w:val="00A57D0B"/>
    <w:rsid w:val="00A6638E"/>
    <w:rsid w:val="00A6730D"/>
    <w:rsid w:val="00A71625"/>
    <w:rsid w:val="00A71B9B"/>
    <w:rsid w:val="00A71E3F"/>
    <w:rsid w:val="00A7263D"/>
    <w:rsid w:val="00A751C7"/>
    <w:rsid w:val="00A77CBD"/>
    <w:rsid w:val="00A77D22"/>
    <w:rsid w:val="00A87844"/>
    <w:rsid w:val="00A956AB"/>
    <w:rsid w:val="00A962C5"/>
    <w:rsid w:val="00AA038C"/>
    <w:rsid w:val="00AA7A09"/>
    <w:rsid w:val="00AB2C0F"/>
    <w:rsid w:val="00AB328C"/>
    <w:rsid w:val="00AB349B"/>
    <w:rsid w:val="00AB35C0"/>
    <w:rsid w:val="00AB3B50"/>
    <w:rsid w:val="00AB79D6"/>
    <w:rsid w:val="00AC05B1"/>
    <w:rsid w:val="00AC4474"/>
    <w:rsid w:val="00AD01F0"/>
    <w:rsid w:val="00AD346F"/>
    <w:rsid w:val="00AD356C"/>
    <w:rsid w:val="00AD394B"/>
    <w:rsid w:val="00AE2914"/>
    <w:rsid w:val="00AE45C6"/>
    <w:rsid w:val="00AE4E97"/>
    <w:rsid w:val="00AE6D15"/>
    <w:rsid w:val="00AE6EB6"/>
    <w:rsid w:val="00AE72D7"/>
    <w:rsid w:val="00AF3403"/>
    <w:rsid w:val="00AF40BD"/>
    <w:rsid w:val="00B00DD8"/>
    <w:rsid w:val="00B026C1"/>
    <w:rsid w:val="00B04182"/>
    <w:rsid w:val="00B06B37"/>
    <w:rsid w:val="00B07AE3"/>
    <w:rsid w:val="00B10F69"/>
    <w:rsid w:val="00B11430"/>
    <w:rsid w:val="00B16020"/>
    <w:rsid w:val="00B16FBB"/>
    <w:rsid w:val="00B2012E"/>
    <w:rsid w:val="00B30D9D"/>
    <w:rsid w:val="00B31990"/>
    <w:rsid w:val="00B353EB"/>
    <w:rsid w:val="00B40301"/>
    <w:rsid w:val="00B439C4"/>
    <w:rsid w:val="00B4535E"/>
    <w:rsid w:val="00B4616B"/>
    <w:rsid w:val="00B5155D"/>
    <w:rsid w:val="00B52A8C"/>
    <w:rsid w:val="00B636A8"/>
    <w:rsid w:val="00B665C6"/>
    <w:rsid w:val="00B75C5C"/>
    <w:rsid w:val="00B802D6"/>
    <w:rsid w:val="00B805AF"/>
    <w:rsid w:val="00B8398D"/>
    <w:rsid w:val="00B84D3E"/>
    <w:rsid w:val="00B85B4E"/>
    <w:rsid w:val="00B869EC"/>
    <w:rsid w:val="00B91BF2"/>
    <w:rsid w:val="00B927AE"/>
    <w:rsid w:val="00B92886"/>
    <w:rsid w:val="00B936BA"/>
    <w:rsid w:val="00B9397A"/>
    <w:rsid w:val="00B945AB"/>
    <w:rsid w:val="00B9633D"/>
    <w:rsid w:val="00B97A78"/>
    <w:rsid w:val="00BA06DF"/>
    <w:rsid w:val="00BA2EBE"/>
    <w:rsid w:val="00BA39C9"/>
    <w:rsid w:val="00BA53FA"/>
    <w:rsid w:val="00BA7618"/>
    <w:rsid w:val="00BB0F28"/>
    <w:rsid w:val="00BB458A"/>
    <w:rsid w:val="00BC359A"/>
    <w:rsid w:val="00BC5F77"/>
    <w:rsid w:val="00BC65AA"/>
    <w:rsid w:val="00BD00D3"/>
    <w:rsid w:val="00BD1659"/>
    <w:rsid w:val="00BD2D39"/>
    <w:rsid w:val="00BD3AA9"/>
    <w:rsid w:val="00BD4A18"/>
    <w:rsid w:val="00BD6DB2"/>
    <w:rsid w:val="00BE11CF"/>
    <w:rsid w:val="00BE21AB"/>
    <w:rsid w:val="00BE55CB"/>
    <w:rsid w:val="00BF57C0"/>
    <w:rsid w:val="00BF5C58"/>
    <w:rsid w:val="00BF617A"/>
    <w:rsid w:val="00C009CF"/>
    <w:rsid w:val="00C0379D"/>
    <w:rsid w:val="00C03931"/>
    <w:rsid w:val="00C05022"/>
    <w:rsid w:val="00C05FE3"/>
    <w:rsid w:val="00C13E67"/>
    <w:rsid w:val="00C156CE"/>
    <w:rsid w:val="00C2136D"/>
    <w:rsid w:val="00C214EE"/>
    <w:rsid w:val="00C2314B"/>
    <w:rsid w:val="00C24971"/>
    <w:rsid w:val="00C250CD"/>
    <w:rsid w:val="00C26BE5"/>
    <w:rsid w:val="00C26E4D"/>
    <w:rsid w:val="00C27909"/>
    <w:rsid w:val="00C27B03"/>
    <w:rsid w:val="00C314E1"/>
    <w:rsid w:val="00C34397"/>
    <w:rsid w:val="00C345B8"/>
    <w:rsid w:val="00C4095D"/>
    <w:rsid w:val="00C42C1C"/>
    <w:rsid w:val="00C47ED1"/>
    <w:rsid w:val="00C50328"/>
    <w:rsid w:val="00C5352F"/>
    <w:rsid w:val="00C54ECC"/>
    <w:rsid w:val="00C601D2"/>
    <w:rsid w:val="00C6394D"/>
    <w:rsid w:val="00C65BCC"/>
    <w:rsid w:val="00C66970"/>
    <w:rsid w:val="00C671A9"/>
    <w:rsid w:val="00C8691C"/>
    <w:rsid w:val="00C91651"/>
    <w:rsid w:val="00CA07C5"/>
    <w:rsid w:val="00CA0A2F"/>
    <w:rsid w:val="00CA168A"/>
    <w:rsid w:val="00CA357E"/>
    <w:rsid w:val="00CA44F9"/>
    <w:rsid w:val="00CA4A69"/>
    <w:rsid w:val="00CA7FF9"/>
    <w:rsid w:val="00CB0169"/>
    <w:rsid w:val="00CB21FA"/>
    <w:rsid w:val="00CB31CC"/>
    <w:rsid w:val="00CC257C"/>
    <w:rsid w:val="00CC3E0C"/>
    <w:rsid w:val="00CC4269"/>
    <w:rsid w:val="00CC58D3"/>
    <w:rsid w:val="00CC784D"/>
    <w:rsid w:val="00CD029A"/>
    <w:rsid w:val="00CD6C0C"/>
    <w:rsid w:val="00CE16DC"/>
    <w:rsid w:val="00CF0D8A"/>
    <w:rsid w:val="00CF3938"/>
    <w:rsid w:val="00CF5003"/>
    <w:rsid w:val="00CF5A99"/>
    <w:rsid w:val="00CF5CCA"/>
    <w:rsid w:val="00D0337B"/>
    <w:rsid w:val="00D079B2"/>
    <w:rsid w:val="00D114E9"/>
    <w:rsid w:val="00D11E94"/>
    <w:rsid w:val="00D130DB"/>
    <w:rsid w:val="00D13296"/>
    <w:rsid w:val="00D224F6"/>
    <w:rsid w:val="00D262D2"/>
    <w:rsid w:val="00D36FCD"/>
    <w:rsid w:val="00D377AB"/>
    <w:rsid w:val="00D37BB8"/>
    <w:rsid w:val="00D429C6"/>
    <w:rsid w:val="00D4448C"/>
    <w:rsid w:val="00D46F78"/>
    <w:rsid w:val="00D47748"/>
    <w:rsid w:val="00D51597"/>
    <w:rsid w:val="00D51C6B"/>
    <w:rsid w:val="00D54CC3"/>
    <w:rsid w:val="00D6041A"/>
    <w:rsid w:val="00D633EB"/>
    <w:rsid w:val="00D636AC"/>
    <w:rsid w:val="00D7112B"/>
    <w:rsid w:val="00D82FF7"/>
    <w:rsid w:val="00D8364E"/>
    <w:rsid w:val="00D847FE"/>
    <w:rsid w:val="00D903D8"/>
    <w:rsid w:val="00D935FB"/>
    <w:rsid w:val="00D96156"/>
    <w:rsid w:val="00D964EA"/>
    <w:rsid w:val="00D966D0"/>
    <w:rsid w:val="00DA0C59"/>
    <w:rsid w:val="00DA1B24"/>
    <w:rsid w:val="00DA3991"/>
    <w:rsid w:val="00DB7E6C"/>
    <w:rsid w:val="00DD3BBA"/>
    <w:rsid w:val="00DD5A29"/>
    <w:rsid w:val="00DD5D9D"/>
    <w:rsid w:val="00DE250C"/>
    <w:rsid w:val="00DE2913"/>
    <w:rsid w:val="00DE35CB"/>
    <w:rsid w:val="00DE4ADD"/>
    <w:rsid w:val="00DF1E3B"/>
    <w:rsid w:val="00DF21E9"/>
    <w:rsid w:val="00E00F14"/>
    <w:rsid w:val="00E03543"/>
    <w:rsid w:val="00E05ED0"/>
    <w:rsid w:val="00E06386"/>
    <w:rsid w:val="00E11FD1"/>
    <w:rsid w:val="00E24EB4"/>
    <w:rsid w:val="00E24FE9"/>
    <w:rsid w:val="00E30D5C"/>
    <w:rsid w:val="00E30F28"/>
    <w:rsid w:val="00E31ECD"/>
    <w:rsid w:val="00E320ED"/>
    <w:rsid w:val="00E33AFB"/>
    <w:rsid w:val="00E34218"/>
    <w:rsid w:val="00E37918"/>
    <w:rsid w:val="00E450CC"/>
    <w:rsid w:val="00E46282"/>
    <w:rsid w:val="00E5216E"/>
    <w:rsid w:val="00E55E2F"/>
    <w:rsid w:val="00E57E1D"/>
    <w:rsid w:val="00E62FBB"/>
    <w:rsid w:val="00E82344"/>
    <w:rsid w:val="00E84C82"/>
    <w:rsid w:val="00E84D64"/>
    <w:rsid w:val="00E85615"/>
    <w:rsid w:val="00E87408"/>
    <w:rsid w:val="00E9097A"/>
    <w:rsid w:val="00E914C4"/>
    <w:rsid w:val="00E91538"/>
    <w:rsid w:val="00E92457"/>
    <w:rsid w:val="00E934F5"/>
    <w:rsid w:val="00E96961"/>
    <w:rsid w:val="00EA3166"/>
    <w:rsid w:val="00EA6103"/>
    <w:rsid w:val="00EA72EC"/>
    <w:rsid w:val="00EB0214"/>
    <w:rsid w:val="00EB11CB"/>
    <w:rsid w:val="00EB275A"/>
    <w:rsid w:val="00EB3219"/>
    <w:rsid w:val="00EB6CAB"/>
    <w:rsid w:val="00EB786A"/>
    <w:rsid w:val="00EC1578"/>
    <w:rsid w:val="00EC1AC9"/>
    <w:rsid w:val="00EC1C72"/>
    <w:rsid w:val="00EC3CC9"/>
    <w:rsid w:val="00EC680A"/>
    <w:rsid w:val="00EC7FFE"/>
    <w:rsid w:val="00ED021E"/>
    <w:rsid w:val="00ED4371"/>
    <w:rsid w:val="00ED5529"/>
    <w:rsid w:val="00EE2BED"/>
    <w:rsid w:val="00EE374B"/>
    <w:rsid w:val="00EE6936"/>
    <w:rsid w:val="00EF1B8C"/>
    <w:rsid w:val="00EF670F"/>
    <w:rsid w:val="00F00425"/>
    <w:rsid w:val="00F02CF7"/>
    <w:rsid w:val="00F11BB5"/>
    <w:rsid w:val="00F13F5F"/>
    <w:rsid w:val="00F1417B"/>
    <w:rsid w:val="00F23081"/>
    <w:rsid w:val="00F24972"/>
    <w:rsid w:val="00F2683B"/>
    <w:rsid w:val="00F3382F"/>
    <w:rsid w:val="00F34B99"/>
    <w:rsid w:val="00F4288E"/>
    <w:rsid w:val="00F43834"/>
    <w:rsid w:val="00F4449E"/>
    <w:rsid w:val="00F465DE"/>
    <w:rsid w:val="00F473E8"/>
    <w:rsid w:val="00F514A6"/>
    <w:rsid w:val="00F51EFD"/>
    <w:rsid w:val="00F520DC"/>
    <w:rsid w:val="00F52DAB"/>
    <w:rsid w:val="00F543F0"/>
    <w:rsid w:val="00F70644"/>
    <w:rsid w:val="00F73F05"/>
    <w:rsid w:val="00F81D29"/>
    <w:rsid w:val="00F83569"/>
    <w:rsid w:val="00F842DB"/>
    <w:rsid w:val="00F861A6"/>
    <w:rsid w:val="00F8660D"/>
    <w:rsid w:val="00F90219"/>
    <w:rsid w:val="00F91C4D"/>
    <w:rsid w:val="00F92516"/>
    <w:rsid w:val="00F92FD9"/>
    <w:rsid w:val="00FA0B7A"/>
    <w:rsid w:val="00FA5BEF"/>
    <w:rsid w:val="00FA6684"/>
    <w:rsid w:val="00FA731E"/>
    <w:rsid w:val="00FB2807"/>
    <w:rsid w:val="00FB2B38"/>
    <w:rsid w:val="00FC1C60"/>
    <w:rsid w:val="00FC3F2A"/>
    <w:rsid w:val="00FC6358"/>
    <w:rsid w:val="00FD0AD4"/>
    <w:rsid w:val="00FD320D"/>
    <w:rsid w:val="00FE23DE"/>
    <w:rsid w:val="00FE273A"/>
    <w:rsid w:val="00FE3A74"/>
    <w:rsid w:val="00FF3505"/>
    <w:rsid w:val="01020EC4"/>
    <w:rsid w:val="0125141F"/>
    <w:rsid w:val="01C3625B"/>
    <w:rsid w:val="01E61FE3"/>
    <w:rsid w:val="02111413"/>
    <w:rsid w:val="0260750A"/>
    <w:rsid w:val="027D15A8"/>
    <w:rsid w:val="03426D96"/>
    <w:rsid w:val="03A13EF0"/>
    <w:rsid w:val="03C34ED4"/>
    <w:rsid w:val="044F05CC"/>
    <w:rsid w:val="0468541C"/>
    <w:rsid w:val="046D7C2E"/>
    <w:rsid w:val="04EF7726"/>
    <w:rsid w:val="04F92E3D"/>
    <w:rsid w:val="05117E76"/>
    <w:rsid w:val="05A70756"/>
    <w:rsid w:val="05E42EC1"/>
    <w:rsid w:val="060F3865"/>
    <w:rsid w:val="064F3CCA"/>
    <w:rsid w:val="064F721F"/>
    <w:rsid w:val="073D5015"/>
    <w:rsid w:val="07EA2C20"/>
    <w:rsid w:val="086B400D"/>
    <w:rsid w:val="08F2682A"/>
    <w:rsid w:val="08F85B47"/>
    <w:rsid w:val="09250DB1"/>
    <w:rsid w:val="09661E0A"/>
    <w:rsid w:val="097364C1"/>
    <w:rsid w:val="0A674B0B"/>
    <w:rsid w:val="0B100D93"/>
    <w:rsid w:val="0B495EAF"/>
    <w:rsid w:val="0C3F6E94"/>
    <w:rsid w:val="0C525237"/>
    <w:rsid w:val="0C633713"/>
    <w:rsid w:val="0D184AD1"/>
    <w:rsid w:val="0DBF06AB"/>
    <w:rsid w:val="0DCB194E"/>
    <w:rsid w:val="0DE50055"/>
    <w:rsid w:val="0E6C1BC8"/>
    <w:rsid w:val="10106BD9"/>
    <w:rsid w:val="106419F7"/>
    <w:rsid w:val="10697E76"/>
    <w:rsid w:val="10A1053B"/>
    <w:rsid w:val="11797B8A"/>
    <w:rsid w:val="123B4311"/>
    <w:rsid w:val="12D44C8F"/>
    <w:rsid w:val="130F7FA5"/>
    <w:rsid w:val="135051B1"/>
    <w:rsid w:val="140E4E2E"/>
    <w:rsid w:val="156467C3"/>
    <w:rsid w:val="157D7749"/>
    <w:rsid w:val="16190FB5"/>
    <w:rsid w:val="17614F52"/>
    <w:rsid w:val="179170DA"/>
    <w:rsid w:val="17F675CD"/>
    <w:rsid w:val="182E042D"/>
    <w:rsid w:val="191F5BCE"/>
    <w:rsid w:val="1A1F6988"/>
    <w:rsid w:val="1A313934"/>
    <w:rsid w:val="1A84475E"/>
    <w:rsid w:val="1A981033"/>
    <w:rsid w:val="1BB07CFE"/>
    <w:rsid w:val="1BC25E4F"/>
    <w:rsid w:val="1C901B90"/>
    <w:rsid w:val="1D305121"/>
    <w:rsid w:val="1D8C68CA"/>
    <w:rsid w:val="1DA022A7"/>
    <w:rsid w:val="1DDB742B"/>
    <w:rsid w:val="1DF543F9"/>
    <w:rsid w:val="1E107F89"/>
    <w:rsid w:val="1E3C6438"/>
    <w:rsid w:val="1EB56678"/>
    <w:rsid w:val="1ED2479E"/>
    <w:rsid w:val="1ED7750B"/>
    <w:rsid w:val="1EEF6634"/>
    <w:rsid w:val="1F496292"/>
    <w:rsid w:val="1FB2006F"/>
    <w:rsid w:val="1FC8365C"/>
    <w:rsid w:val="1FCE6749"/>
    <w:rsid w:val="204E3D1F"/>
    <w:rsid w:val="20646579"/>
    <w:rsid w:val="20FD167E"/>
    <w:rsid w:val="219708A9"/>
    <w:rsid w:val="21A06892"/>
    <w:rsid w:val="21E765A0"/>
    <w:rsid w:val="2241392C"/>
    <w:rsid w:val="22655E8A"/>
    <w:rsid w:val="22EB59ED"/>
    <w:rsid w:val="23065445"/>
    <w:rsid w:val="24210FCE"/>
    <w:rsid w:val="24E766A9"/>
    <w:rsid w:val="25B96399"/>
    <w:rsid w:val="26070D2A"/>
    <w:rsid w:val="26D8337F"/>
    <w:rsid w:val="27B513E3"/>
    <w:rsid w:val="28292E99"/>
    <w:rsid w:val="282A1B71"/>
    <w:rsid w:val="283B06BE"/>
    <w:rsid w:val="285A3BEB"/>
    <w:rsid w:val="28E141FE"/>
    <w:rsid w:val="291D5204"/>
    <w:rsid w:val="294B6A06"/>
    <w:rsid w:val="29FD282F"/>
    <w:rsid w:val="2A3E0BD6"/>
    <w:rsid w:val="2A4E4F60"/>
    <w:rsid w:val="2A633167"/>
    <w:rsid w:val="2A754259"/>
    <w:rsid w:val="2B9E594C"/>
    <w:rsid w:val="2CAB07E6"/>
    <w:rsid w:val="2CC91630"/>
    <w:rsid w:val="2E8C5391"/>
    <w:rsid w:val="2EA51304"/>
    <w:rsid w:val="2EA74B17"/>
    <w:rsid w:val="2F5B602D"/>
    <w:rsid w:val="2FAD452F"/>
    <w:rsid w:val="300812C2"/>
    <w:rsid w:val="304A7E50"/>
    <w:rsid w:val="30670A02"/>
    <w:rsid w:val="30722682"/>
    <w:rsid w:val="308D5EB4"/>
    <w:rsid w:val="30EE2159"/>
    <w:rsid w:val="31413B7F"/>
    <w:rsid w:val="319A122D"/>
    <w:rsid w:val="31C51E84"/>
    <w:rsid w:val="323621B9"/>
    <w:rsid w:val="32751BDF"/>
    <w:rsid w:val="33074120"/>
    <w:rsid w:val="33CC3245"/>
    <w:rsid w:val="33E46CAF"/>
    <w:rsid w:val="34190265"/>
    <w:rsid w:val="34586DF2"/>
    <w:rsid w:val="34D71376"/>
    <w:rsid w:val="351B6412"/>
    <w:rsid w:val="354B658E"/>
    <w:rsid w:val="35A2445F"/>
    <w:rsid w:val="36AE67D0"/>
    <w:rsid w:val="379E11AD"/>
    <w:rsid w:val="37F92887"/>
    <w:rsid w:val="38E55EEB"/>
    <w:rsid w:val="39104EF7"/>
    <w:rsid w:val="39315917"/>
    <w:rsid w:val="39E20927"/>
    <w:rsid w:val="3A0A4F27"/>
    <w:rsid w:val="3AF233E1"/>
    <w:rsid w:val="3B3C2C6B"/>
    <w:rsid w:val="3CD63197"/>
    <w:rsid w:val="3CFB1B33"/>
    <w:rsid w:val="3E8A49F3"/>
    <w:rsid w:val="3EC00DE7"/>
    <w:rsid w:val="3ED65569"/>
    <w:rsid w:val="3ED725C2"/>
    <w:rsid w:val="3F1042D2"/>
    <w:rsid w:val="3F1D4436"/>
    <w:rsid w:val="3F201494"/>
    <w:rsid w:val="3F640CA1"/>
    <w:rsid w:val="3F70323D"/>
    <w:rsid w:val="3FA34D0F"/>
    <w:rsid w:val="3FB041A5"/>
    <w:rsid w:val="414B0FD7"/>
    <w:rsid w:val="415A1FDF"/>
    <w:rsid w:val="427F1BDB"/>
    <w:rsid w:val="42E654E7"/>
    <w:rsid w:val="42F24E00"/>
    <w:rsid w:val="42F45204"/>
    <w:rsid w:val="4303280C"/>
    <w:rsid w:val="43CB2AEA"/>
    <w:rsid w:val="43FB6172"/>
    <w:rsid w:val="448044CA"/>
    <w:rsid w:val="44F0696E"/>
    <w:rsid w:val="45083F82"/>
    <w:rsid w:val="451F1453"/>
    <w:rsid w:val="45AC2E9C"/>
    <w:rsid w:val="45CE2CD1"/>
    <w:rsid w:val="45F153CD"/>
    <w:rsid w:val="469D3D61"/>
    <w:rsid w:val="46B901E2"/>
    <w:rsid w:val="47555600"/>
    <w:rsid w:val="479657DF"/>
    <w:rsid w:val="47975C19"/>
    <w:rsid w:val="47AE6A6E"/>
    <w:rsid w:val="47FE35A2"/>
    <w:rsid w:val="4812704D"/>
    <w:rsid w:val="482A79E7"/>
    <w:rsid w:val="483C43D0"/>
    <w:rsid w:val="487C6C86"/>
    <w:rsid w:val="489878D5"/>
    <w:rsid w:val="48A44869"/>
    <w:rsid w:val="49022326"/>
    <w:rsid w:val="49A30BE8"/>
    <w:rsid w:val="49BC54C3"/>
    <w:rsid w:val="49EC44DE"/>
    <w:rsid w:val="4B7079F0"/>
    <w:rsid w:val="4CFD6F8B"/>
    <w:rsid w:val="4E5B73DB"/>
    <w:rsid w:val="4E971118"/>
    <w:rsid w:val="4EC17403"/>
    <w:rsid w:val="4ECA0682"/>
    <w:rsid w:val="4EF84B43"/>
    <w:rsid w:val="4F68413C"/>
    <w:rsid w:val="4FB5167F"/>
    <w:rsid w:val="4FE42CAE"/>
    <w:rsid w:val="50722FD6"/>
    <w:rsid w:val="50D46F2F"/>
    <w:rsid w:val="5181323A"/>
    <w:rsid w:val="52226D93"/>
    <w:rsid w:val="526273B5"/>
    <w:rsid w:val="528B63F9"/>
    <w:rsid w:val="52A23FD0"/>
    <w:rsid w:val="52A54DF4"/>
    <w:rsid w:val="531C4919"/>
    <w:rsid w:val="53404ABD"/>
    <w:rsid w:val="534E7AD3"/>
    <w:rsid w:val="53C0754E"/>
    <w:rsid w:val="5494384C"/>
    <w:rsid w:val="551A521B"/>
    <w:rsid w:val="55B711B8"/>
    <w:rsid w:val="5672514A"/>
    <w:rsid w:val="56DC7607"/>
    <w:rsid w:val="5703537D"/>
    <w:rsid w:val="57222C1F"/>
    <w:rsid w:val="582A4A26"/>
    <w:rsid w:val="583446A1"/>
    <w:rsid w:val="59305585"/>
    <w:rsid w:val="5A632923"/>
    <w:rsid w:val="5C931F39"/>
    <w:rsid w:val="5CA53250"/>
    <w:rsid w:val="5EF93098"/>
    <w:rsid w:val="602B35C2"/>
    <w:rsid w:val="60324C6F"/>
    <w:rsid w:val="60C32E9D"/>
    <w:rsid w:val="61BE0723"/>
    <w:rsid w:val="62D82F16"/>
    <w:rsid w:val="631B4F6C"/>
    <w:rsid w:val="63600BB5"/>
    <w:rsid w:val="63C321BA"/>
    <w:rsid w:val="64821AF4"/>
    <w:rsid w:val="64BE25DF"/>
    <w:rsid w:val="64CC12B4"/>
    <w:rsid w:val="64E03CD7"/>
    <w:rsid w:val="650C6EA7"/>
    <w:rsid w:val="653D08B4"/>
    <w:rsid w:val="658B4ABD"/>
    <w:rsid w:val="664B1C51"/>
    <w:rsid w:val="679D1E77"/>
    <w:rsid w:val="698A2A90"/>
    <w:rsid w:val="6A826778"/>
    <w:rsid w:val="6A921218"/>
    <w:rsid w:val="6B496C60"/>
    <w:rsid w:val="6BF77A4C"/>
    <w:rsid w:val="6C03749E"/>
    <w:rsid w:val="6C070353"/>
    <w:rsid w:val="6C4745AC"/>
    <w:rsid w:val="6E1C2556"/>
    <w:rsid w:val="6E7B2E8B"/>
    <w:rsid w:val="6ED837D3"/>
    <w:rsid w:val="6F02382D"/>
    <w:rsid w:val="6FA10B33"/>
    <w:rsid w:val="6FEC4A14"/>
    <w:rsid w:val="6FF116C5"/>
    <w:rsid w:val="705330A9"/>
    <w:rsid w:val="70A22DB5"/>
    <w:rsid w:val="70A907DE"/>
    <w:rsid w:val="70DB2FB5"/>
    <w:rsid w:val="71142958"/>
    <w:rsid w:val="715D75E3"/>
    <w:rsid w:val="72232740"/>
    <w:rsid w:val="72390794"/>
    <w:rsid w:val="72802E65"/>
    <w:rsid w:val="730B07C2"/>
    <w:rsid w:val="7359452E"/>
    <w:rsid w:val="73815910"/>
    <w:rsid w:val="739318A2"/>
    <w:rsid w:val="739F0241"/>
    <w:rsid w:val="73B502D1"/>
    <w:rsid w:val="74216403"/>
    <w:rsid w:val="744C1FF7"/>
    <w:rsid w:val="74761DA3"/>
    <w:rsid w:val="74DD30F2"/>
    <w:rsid w:val="74F52A8D"/>
    <w:rsid w:val="7500772E"/>
    <w:rsid w:val="75A81026"/>
    <w:rsid w:val="75DA5D58"/>
    <w:rsid w:val="75EE43D4"/>
    <w:rsid w:val="76AB2977"/>
    <w:rsid w:val="77673F72"/>
    <w:rsid w:val="78782D79"/>
    <w:rsid w:val="78CE0BEB"/>
    <w:rsid w:val="78F37A4F"/>
    <w:rsid w:val="79085863"/>
    <w:rsid w:val="79334EF2"/>
    <w:rsid w:val="793E7F88"/>
    <w:rsid w:val="796006BF"/>
    <w:rsid w:val="79C24E8B"/>
    <w:rsid w:val="7A7B731B"/>
    <w:rsid w:val="7B611D62"/>
    <w:rsid w:val="7C223070"/>
    <w:rsid w:val="7C530C8F"/>
    <w:rsid w:val="7CC2196C"/>
    <w:rsid w:val="7CF74BF8"/>
    <w:rsid w:val="7D082D28"/>
    <w:rsid w:val="7DA52328"/>
    <w:rsid w:val="7FFD2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6699BC8A"/>
  <w14:defaultImageDpi w14:val="96"/>
  <w15:docId w15:val="{EA317F31-1711-4E28-833E-F5F9CB8FB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unhideWhenUsed="1" w:qFormat="1"/>
    <w:lsdException w:name="header" w:uiPriority="0" w:qFormat="1"/>
    <w:lsdException w:name="footer" w:uiPriority="0"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6">
    <w:name w:val="Normal"/>
    <w:qFormat/>
    <w:pPr>
      <w:widowControl w:val="0"/>
      <w:jc w:val="both"/>
    </w:pPr>
    <w:rPr>
      <w:kern w:val="2"/>
      <w:sz w:val="21"/>
      <w:szCs w:val="24"/>
    </w:rPr>
  </w:style>
  <w:style w:type="paragraph" w:styleId="10">
    <w:name w:val="heading 1"/>
    <w:basedOn w:val="af6"/>
    <w:next w:val="af6"/>
    <w:link w:val="11"/>
    <w:uiPriority w:val="9"/>
    <w:qFormat/>
    <w:pPr>
      <w:keepNext/>
      <w:keepLines/>
      <w:spacing w:before="340" w:after="330" w:line="578" w:lineRule="auto"/>
      <w:outlineLvl w:val="0"/>
    </w:pPr>
    <w:rPr>
      <w:b/>
      <w:bCs/>
      <w:kern w:val="44"/>
      <w:sz w:val="44"/>
      <w:szCs w:val="44"/>
    </w:rPr>
  </w:style>
  <w:style w:type="paragraph" w:styleId="4">
    <w:name w:val="heading 4"/>
    <w:basedOn w:val="af6"/>
    <w:next w:val="af6"/>
    <w:uiPriority w:val="9"/>
    <w:semiHidden/>
    <w:unhideWhenUsed/>
    <w:qFormat/>
    <w:pPr>
      <w:spacing w:beforeAutospacing="1" w:afterAutospacing="1"/>
      <w:jc w:val="left"/>
      <w:outlineLvl w:val="3"/>
    </w:pPr>
    <w:rPr>
      <w:rFonts w:ascii="宋体" w:hAnsi="宋体" w:hint="eastAsia"/>
      <w:b/>
      <w:bCs/>
      <w:kern w:val="0"/>
      <w:sz w:val="24"/>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paragraph" w:styleId="TOC7">
    <w:name w:val="toc 7"/>
    <w:basedOn w:val="af6"/>
    <w:next w:val="af6"/>
    <w:qFormat/>
    <w:pPr>
      <w:tabs>
        <w:tab w:val="right" w:leader="dot" w:pos="9241"/>
      </w:tabs>
      <w:ind w:firstLineChars="500" w:firstLine="505"/>
      <w:jc w:val="left"/>
    </w:pPr>
    <w:rPr>
      <w:rFonts w:ascii="宋体"/>
      <w:szCs w:val="21"/>
    </w:rPr>
  </w:style>
  <w:style w:type="paragraph" w:styleId="8">
    <w:name w:val="index 8"/>
    <w:basedOn w:val="af6"/>
    <w:next w:val="af6"/>
    <w:qFormat/>
    <w:pPr>
      <w:ind w:left="1680" w:hanging="210"/>
      <w:jc w:val="left"/>
    </w:pPr>
    <w:rPr>
      <w:rFonts w:ascii="Calibri" w:hAnsi="Calibri"/>
      <w:sz w:val="20"/>
      <w:szCs w:val="20"/>
    </w:rPr>
  </w:style>
  <w:style w:type="paragraph" w:styleId="afa">
    <w:name w:val="caption"/>
    <w:basedOn w:val="af6"/>
    <w:next w:val="af6"/>
    <w:qFormat/>
    <w:pPr>
      <w:spacing w:before="152" w:after="160"/>
    </w:pPr>
    <w:rPr>
      <w:rFonts w:ascii="Arial" w:eastAsia="黑体" w:hAnsi="Arial" w:cs="Arial"/>
      <w:sz w:val="20"/>
      <w:szCs w:val="20"/>
    </w:rPr>
  </w:style>
  <w:style w:type="paragraph" w:styleId="5">
    <w:name w:val="index 5"/>
    <w:basedOn w:val="af6"/>
    <w:next w:val="af6"/>
    <w:qFormat/>
    <w:pPr>
      <w:ind w:left="1050" w:hanging="210"/>
      <w:jc w:val="left"/>
    </w:pPr>
    <w:rPr>
      <w:rFonts w:ascii="Calibri" w:hAnsi="Calibri"/>
      <w:sz w:val="20"/>
      <w:szCs w:val="20"/>
    </w:rPr>
  </w:style>
  <w:style w:type="paragraph" w:styleId="afb">
    <w:name w:val="Document Map"/>
    <w:basedOn w:val="af6"/>
    <w:qFormat/>
    <w:pPr>
      <w:shd w:val="clear" w:color="auto" w:fill="000080"/>
    </w:pPr>
  </w:style>
  <w:style w:type="paragraph" w:styleId="afc">
    <w:name w:val="annotation text"/>
    <w:basedOn w:val="af6"/>
    <w:link w:val="afd"/>
    <w:uiPriority w:val="99"/>
    <w:unhideWhenUsed/>
    <w:qFormat/>
    <w:pPr>
      <w:jc w:val="left"/>
    </w:pPr>
  </w:style>
  <w:style w:type="paragraph" w:styleId="6">
    <w:name w:val="index 6"/>
    <w:basedOn w:val="af6"/>
    <w:next w:val="af6"/>
    <w:qFormat/>
    <w:pPr>
      <w:ind w:left="1260" w:hanging="210"/>
      <w:jc w:val="left"/>
    </w:pPr>
    <w:rPr>
      <w:rFonts w:ascii="Calibri" w:hAnsi="Calibri"/>
      <w:sz w:val="20"/>
      <w:szCs w:val="20"/>
    </w:rPr>
  </w:style>
  <w:style w:type="paragraph" w:styleId="afe">
    <w:name w:val="Body Text"/>
    <w:basedOn w:val="af6"/>
    <w:uiPriority w:val="1"/>
    <w:qFormat/>
    <w:rPr>
      <w:rFonts w:ascii="宋体" w:hAnsi="宋体" w:cs="宋体"/>
      <w:sz w:val="24"/>
      <w:lang w:eastAsia="en-US"/>
    </w:rPr>
  </w:style>
  <w:style w:type="paragraph" w:styleId="aff">
    <w:name w:val="Body Text Indent"/>
    <w:basedOn w:val="af6"/>
    <w:qFormat/>
    <w:pPr>
      <w:ind w:left="448" w:firstLineChars="186" w:firstLine="391"/>
    </w:pPr>
  </w:style>
  <w:style w:type="paragraph" w:styleId="aff0">
    <w:name w:val="Block Text"/>
    <w:basedOn w:val="af6"/>
    <w:qFormat/>
    <w:pPr>
      <w:spacing w:before="60" w:after="60"/>
      <w:ind w:left="359" w:right="26" w:firstLine="481"/>
    </w:pPr>
    <w:rPr>
      <w:rFonts w:ascii="宋体"/>
      <w:sz w:val="24"/>
    </w:rPr>
  </w:style>
  <w:style w:type="paragraph" w:styleId="40">
    <w:name w:val="index 4"/>
    <w:basedOn w:val="af6"/>
    <w:next w:val="af6"/>
    <w:qFormat/>
    <w:pPr>
      <w:ind w:left="840" w:hanging="210"/>
      <w:jc w:val="left"/>
    </w:pPr>
    <w:rPr>
      <w:rFonts w:ascii="Calibri" w:hAnsi="Calibri"/>
      <w:sz w:val="20"/>
      <w:szCs w:val="20"/>
    </w:rPr>
  </w:style>
  <w:style w:type="paragraph" w:styleId="TOC5">
    <w:name w:val="toc 5"/>
    <w:basedOn w:val="af6"/>
    <w:next w:val="af6"/>
    <w:qFormat/>
    <w:pPr>
      <w:tabs>
        <w:tab w:val="right" w:leader="dot" w:pos="9241"/>
      </w:tabs>
      <w:ind w:firstLineChars="300" w:firstLine="300"/>
      <w:jc w:val="left"/>
    </w:pPr>
    <w:rPr>
      <w:rFonts w:ascii="宋体"/>
      <w:szCs w:val="21"/>
    </w:rPr>
  </w:style>
  <w:style w:type="paragraph" w:styleId="TOC3">
    <w:name w:val="toc 3"/>
    <w:basedOn w:val="af6"/>
    <w:next w:val="af6"/>
    <w:uiPriority w:val="39"/>
    <w:qFormat/>
    <w:pPr>
      <w:tabs>
        <w:tab w:val="right" w:leader="dot" w:pos="9241"/>
      </w:tabs>
      <w:ind w:firstLineChars="100" w:firstLine="102"/>
      <w:jc w:val="left"/>
    </w:pPr>
    <w:rPr>
      <w:rFonts w:ascii="宋体"/>
      <w:szCs w:val="21"/>
    </w:rPr>
  </w:style>
  <w:style w:type="paragraph" w:styleId="TOC8">
    <w:name w:val="toc 8"/>
    <w:basedOn w:val="af6"/>
    <w:next w:val="af6"/>
    <w:qFormat/>
    <w:pPr>
      <w:tabs>
        <w:tab w:val="right" w:leader="dot" w:pos="9241"/>
      </w:tabs>
      <w:ind w:firstLineChars="600" w:firstLine="607"/>
      <w:jc w:val="left"/>
    </w:pPr>
    <w:rPr>
      <w:rFonts w:ascii="宋体"/>
      <w:szCs w:val="21"/>
    </w:rPr>
  </w:style>
  <w:style w:type="paragraph" w:styleId="3">
    <w:name w:val="index 3"/>
    <w:basedOn w:val="af6"/>
    <w:next w:val="af6"/>
    <w:qFormat/>
    <w:pPr>
      <w:ind w:left="630" w:hanging="210"/>
      <w:jc w:val="left"/>
    </w:pPr>
    <w:rPr>
      <w:rFonts w:ascii="Calibri" w:hAnsi="Calibri"/>
      <w:sz w:val="20"/>
      <w:szCs w:val="20"/>
    </w:rPr>
  </w:style>
  <w:style w:type="paragraph" w:styleId="aff1">
    <w:name w:val="Date"/>
    <w:basedOn w:val="af6"/>
    <w:next w:val="af6"/>
    <w:link w:val="aff2"/>
    <w:uiPriority w:val="99"/>
    <w:semiHidden/>
    <w:unhideWhenUsed/>
    <w:qFormat/>
    <w:pPr>
      <w:ind w:leftChars="2500" w:left="100"/>
    </w:pPr>
  </w:style>
  <w:style w:type="paragraph" w:styleId="aff3">
    <w:name w:val="endnote text"/>
    <w:basedOn w:val="af6"/>
    <w:qFormat/>
    <w:pPr>
      <w:snapToGrid w:val="0"/>
      <w:jc w:val="left"/>
    </w:pPr>
  </w:style>
  <w:style w:type="paragraph" w:styleId="aff4">
    <w:name w:val="Balloon Text"/>
    <w:basedOn w:val="af6"/>
    <w:link w:val="aff5"/>
    <w:qFormat/>
    <w:rPr>
      <w:sz w:val="18"/>
      <w:szCs w:val="18"/>
    </w:rPr>
  </w:style>
  <w:style w:type="paragraph" w:styleId="aff6">
    <w:name w:val="footer"/>
    <w:basedOn w:val="af6"/>
    <w:qFormat/>
    <w:pPr>
      <w:snapToGrid w:val="0"/>
      <w:ind w:rightChars="100" w:right="210"/>
      <w:jc w:val="right"/>
    </w:pPr>
    <w:rPr>
      <w:sz w:val="18"/>
      <w:szCs w:val="18"/>
    </w:rPr>
  </w:style>
  <w:style w:type="paragraph" w:styleId="aff7">
    <w:name w:val="header"/>
    <w:basedOn w:val="af6"/>
    <w:qFormat/>
    <w:pPr>
      <w:snapToGrid w:val="0"/>
      <w:jc w:val="left"/>
    </w:pPr>
    <w:rPr>
      <w:sz w:val="18"/>
      <w:szCs w:val="18"/>
    </w:rPr>
  </w:style>
  <w:style w:type="paragraph" w:styleId="TOC1">
    <w:name w:val="toc 1"/>
    <w:basedOn w:val="af6"/>
    <w:next w:val="af6"/>
    <w:uiPriority w:val="39"/>
    <w:qFormat/>
    <w:pPr>
      <w:tabs>
        <w:tab w:val="right" w:leader="dot" w:pos="9241"/>
      </w:tabs>
      <w:spacing w:beforeLines="25" w:before="25" w:afterLines="25" w:after="25"/>
      <w:jc w:val="left"/>
    </w:pPr>
    <w:rPr>
      <w:rFonts w:ascii="宋体"/>
      <w:szCs w:val="21"/>
    </w:rPr>
  </w:style>
  <w:style w:type="paragraph" w:styleId="TOC4">
    <w:name w:val="toc 4"/>
    <w:basedOn w:val="af6"/>
    <w:next w:val="af6"/>
    <w:qFormat/>
    <w:pPr>
      <w:tabs>
        <w:tab w:val="right" w:leader="dot" w:pos="9241"/>
      </w:tabs>
      <w:ind w:firstLineChars="200" w:firstLine="198"/>
      <w:jc w:val="left"/>
    </w:pPr>
    <w:rPr>
      <w:rFonts w:ascii="宋体"/>
      <w:szCs w:val="21"/>
    </w:rPr>
  </w:style>
  <w:style w:type="paragraph" w:styleId="aff8">
    <w:name w:val="index heading"/>
    <w:basedOn w:val="af6"/>
    <w:next w:val="12"/>
    <w:qFormat/>
    <w:pPr>
      <w:spacing w:before="120" w:after="120"/>
      <w:jc w:val="center"/>
    </w:pPr>
    <w:rPr>
      <w:rFonts w:ascii="Calibri" w:hAnsi="Calibri"/>
      <w:b/>
      <w:bCs/>
      <w:iCs/>
      <w:szCs w:val="20"/>
    </w:rPr>
  </w:style>
  <w:style w:type="paragraph" w:styleId="12">
    <w:name w:val="index 1"/>
    <w:basedOn w:val="af6"/>
    <w:next w:val="aff9"/>
    <w:qFormat/>
    <w:pPr>
      <w:tabs>
        <w:tab w:val="right" w:leader="dot" w:pos="9299"/>
      </w:tabs>
      <w:jc w:val="left"/>
    </w:pPr>
    <w:rPr>
      <w:rFonts w:ascii="宋体"/>
      <w:szCs w:val="21"/>
    </w:rPr>
  </w:style>
  <w:style w:type="paragraph" w:customStyle="1" w:styleId="aff9">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a">
    <w:name w:val="footnote text"/>
    <w:basedOn w:val="af6"/>
    <w:qFormat/>
    <w:pPr>
      <w:numPr>
        <w:numId w:val="1"/>
      </w:numPr>
      <w:snapToGrid w:val="0"/>
      <w:jc w:val="left"/>
    </w:pPr>
    <w:rPr>
      <w:rFonts w:ascii="宋体"/>
      <w:sz w:val="18"/>
      <w:szCs w:val="18"/>
    </w:rPr>
  </w:style>
  <w:style w:type="paragraph" w:styleId="TOC6">
    <w:name w:val="toc 6"/>
    <w:basedOn w:val="af6"/>
    <w:next w:val="af6"/>
    <w:qFormat/>
    <w:pPr>
      <w:tabs>
        <w:tab w:val="right" w:leader="dot" w:pos="9241"/>
      </w:tabs>
      <w:ind w:firstLineChars="400" w:firstLine="403"/>
      <w:jc w:val="left"/>
    </w:pPr>
    <w:rPr>
      <w:rFonts w:ascii="宋体"/>
      <w:szCs w:val="21"/>
    </w:rPr>
  </w:style>
  <w:style w:type="paragraph" w:styleId="7">
    <w:name w:val="index 7"/>
    <w:basedOn w:val="af6"/>
    <w:next w:val="af6"/>
    <w:qFormat/>
    <w:pPr>
      <w:ind w:left="1470" w:hanging="210"/>
      <w:jc w:val="left"/>
    </w:pPr>
    <w:rPr>
      <w:rFonts w:ascii="Calibri" w:hAnsi="Calibri"/>
      <w:sz w:val="20"/>
      <w:szCs w:val="20"/>
    </w:rPr>
  </w:style>
  <w:style w:type="paragraph" w:styleId="9">
    <w:name w:val="index 9"/>
    <w:basedOn w:val="af6"/>
    <w:next w:val="af6"/>
    <w:qFormat/>
    <w:pPr>
      <w:ind w:left="1890" w:hanging="210"/>
      <w:jc w:val="left"/>
    </w:pPr>
    <w:rPr>
      <w:rFonts w:ascii="Calibri" w:hAnsi="Calibri"/>
      <w:sz w:val="20"/>
      <w:szCs w:val="20"/>
    </w:rPr>
  </w:style>
  <w:style w:type="paragraph" w:styleId="TOC2">
    <w:name w:val="toc 2"/>
    <w:basedOn w:val="af6"/>
    <w:next w:val="af6"/>
    <w:uiPriority w:val="39"/>
    <w:qFormat/>
    <w:pPr>
      <w:tabs>
        <w:tab w:val="right" w:leader="dot" w:pos="9241"/>
      </w:tabs>
    </w:pPr>
    <w:rPr>
      <w:rFonts w:ascii="宋体"/>
      <w:szCs w:val="21"/>
    </w:rPr>
  </w:style>
  <w:style w:type="paragraph" w:styleId="TOC9">
    <w:name w:val="toc 9"/>
    <w:basedOn w:val="af6"/>
    <w:next w:val="af6"/>
    <w:qFormat/>
    <w:pPr>
      <w:ind w:left="1470"/>
      <w:jc w:val="left"/>
    </w:pPr>
    <w:rPr>
      <w:sz w:val="20"/>
      <w:szCs w:val="20"/>
    </w:rPr>
  </w:style>
  <w:style w:type="paragraph" w:styleId="affa">
    <w:name w:val="Normal (Web)"/>
    <w:basedOn w:val="af6"/>
    <w:uiPriority w:val="99"/>
    <w:semiHidden/>
    <w:unhideWhenUsed/>
    <w:qFormat/>
    <w:pPr>
      <w:spacing w:beforeAutospacing="1" w:afterAutospacing="1"/>
      <w:jc w:val="left"/>
    </w:pPr>
    <w:rPr>
      <w:kern w:val="0"/>
      <w:sz w:val="24"/>
    </w:rPr>
  </w:style>
  <w:style w:type="paragraph" w:styleId="2">
    <w:name w:val="index 2"/>
    <w:basedOn w:val="af6"/>
    <w:next w:val="af6"/>
    <w:qFormat/>
    <w:pPr>
      <w:ind w:left="420" w:hanging="210"/>
      <w:jc w:val="left"/>
    </w:pPr>
    <w:rPr>
      <w:rFonts w:ascii="Calibri" w:hAnsi="Calibri"/>
      <w:sz w:val="20"/>
      <w:szCs w:val="20"/>
    </w:rPr>
  </w:style>
  <w:style w:type="paragraph" w:styleId="affb">
    <w:name w:val="annotation subject"/>
    <w:basedOn w:val="afc"/>
    <w:next w:val="afc"/>
    <w:link w:val="affc"/>
    <w:uiPriority w:val="99"/>
    <w:semiHidden/>
    <w:unhideWhenUsed/>
    <w:qFormat/>
    <w:rPr>
      <w:b/>
      <w:bCs/>
    </w:rPr>
  </w:style>
  <w:style w:type="table" w:styleId="affd">
    <w:name w:val="Table Grid"/>
    <w:basedOn w:val="af8"/>
    <w:qFormat/>
    <w:rPr>
      <w:rFonts w:ascii="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basedOn w:val="af7"/>
    <w:uiPriority w:val="22"/>
    <w:qFormat/>
    <w:rPr>
      <w:b/>
    </w:rPr>
  </w:style>
  <w:style w:type="character" w:styleId="afff">
    <w:name w:val="endnote reference"/>
    <w:qFormat/>
    <w:rPr>
      <w:rFonts w:ascii="Times New Roman" w:eastAsia="宋体" w:hAnsi="Times New Roman" w:cs="Times New Roman"/>
      <w:vertAlign w:val="superscript"/>
    </w:rPr>
  </w:style>
  <w:style w:type="character" w:styleId="afff0">
    <w:name w:val="page number"/>
    <w:qFormat/>
    <w:rPr>
      <w:rFonts w:ascii="Times New Roman" w:eastAsia="宋体" w:hAnsi="Times New Roman" w:cs="Times New Roman"/>
      <w:sz w:val="18"/>
    </w:rPr>
  </w:style>
  <w:style w:type="character" w:styleId="afff1">
    <w:name w:val="FollowedHyperlink"/>
    <w:qFormat/>
    <w:rPr>
      <w:rFonts w:ascii="Times New Roman" w:eastAsia="宋体" w:hAnsi="Times New Roman" w:cs="Times New Roman"/>
      <w:color w:val="800080"/>
      <w:u w:val="single"/>
    </w:rPr>
  </w:style>
  <w:style w:type="character" w:styleId="afff2">
    <w:name w:val="Hyperlink"/>
    <w:uiPriority w:val="99"/>
    <w:qFormat/>
    <w:rPr>
      <w:rFonts w:ascii="Times New Roman" w:eastAsia="宋体" w:hAnsi="Times New Roman" w:cs="Times New Roman"/>
      <w:color w:val="0000FF"/>
      <w:spacing w:val="0"/>
      <w:w w:val="100"/>
      <w:szCs w:val="21"/>
      <w:u w:val="single"/>
      <w:lang w:val="en-US" w:eastAsia="zh-CN"/>
    </w:rPr>
  </w:style>
  <w:style w:type="character" w:styleId="afff3">
    <w:name w:val="annotation reference"/>
    <w:basedOn w:val="af7"/>
    <w:uiPriority w:val="99"/>
    <w:semiHidden/>
    <w:unhideWhenUsed/>
    <w:qFormat/>
    <w:rPr>
      <w:sz w:val="21"/>
      <w:szCs w:val="21"/>
    </w:rPr>
  </w:style>
  <w:style w:type="character" w:styleId="afff4">
    <w:name w:val="footnote reference"/>
    <w:qFormat/>
    <w:rPr>
      <w:rFonts w:ascii="Times New Roman" w:eastAsia="宋体" w:hAnsi="Times New Roman" w:cs="Times New Roman"/>
      <w:vertAlign w:val="superscript"/>
    </w:rPr>
  </w:style>
  <w:style w:type="character" w:customStyle="1" w:styleId="Char">
    <w:name w:val="段 Char"/>
    <w:link w:val="aff9"/>
    <w:qFormat/>
    <w:rPr>
      <w:rFonts w:ascii="宋体" w:eastAsia="宋体" w:hAnsi="Times New Roman" w:cs="Times New Roman"/>
      <w:sz w:val="21"/>
      <w:lang w:val="en-US" w:eastAsia="zh-CN" w:bidi="ar-SA"/>
    </w:rPr>
  </w:style>
  <w:style w:type="paragraph" w:customStyle="1" w:styleId="af5">
    <w:name w:val="注："/>
    <w:next w:val="aff9"/>
    <w:qFormat/>
    <w:pPr>
      <w:widowControl w:val="0"/>
      <w:numPr>
        <w:numId w:val="2"/>
      </w:numPr>
      <w:autoSpaceDE w:val="0"/>
      <w:autoSpaceDN w:val="0"/>
      <w:jc w:val="both"/>
    </w:pPr>
    <w:rPr>
      <w:rFonts w:ascii="宋体"/>
      <w:sz w:val="18"/>
      <w:szCs w:val="18"/>
    </w:rPr>
  </w:style>
  <w:style w:type="paragraph" w:customStyle="1" w:styleId="afff5">
    <w:name w:val="一级条标题"/>
    <w:next w:val="aff9"/>
    <w:qFormat/>
    <w:pPr>
      <w:spacing w:beforeLines="50" w:before="156" w:afterLines="50" w:after="156"/>
      <w:outlineLvl w:val="2"/>
    </w:pPr>
    <w:rPr>
      <w:rFonts w:ascii="黑体" w:eastAsia="黑体"/>
      <w:sz w:val="21"/>
      <w:szCs w:val="21"/>
    </w:rPr>
  </w:style>
  <w:style w:type="paragraph" w:customStyle="1" w:styleId="afff6">
    <w:name w:val="二级条标题"/>
    <w:basedOn w:val="afff5"/>
    <w:next w:val="aff9"/>
    <w:qFormat/>
    <w:pPr>
      <w:spacing w:before="50" w:after="50"/>
      <w:outlineLvl w:val="3"/>
    </w:pPr>
    <w:rPr>
      <w:rFonts w:ascii="Times New Roman" w:eastAsia="宋体"/>
    </w:rPr>
  </w:style>
  <w:style w:type="paragraph" w:customStyle="1" w:styleId="afff7">
    <w:name w:val="三级条标题"/>
    <w:basedOn w:val="afff6"/>
    <w:next w:val="aff9"/>
    <w:qFormat/>
    <w:pPr>
      <w:outlineLvl w:val="4"/>
    </w:pPr>
  </w:style>
  <w:style w:type="paragraph" w:customStyle="1" w:styleId="afff8">
    <w:name w:val="四级条标题"/>
    <w:basedOn w:val="afff7"/>
    <w:next w:val="aff9"/>
    <w:qFormat/>
    <w:pPr>
      <w:outlineLvl w:val="5"/>
    </w:pPr>
  </w:style>
  <w:style w:type="paragraph" w:customStyle="1" w:styleId="afff9">
    <w:name w:val="四级无"/>
    <w:basedOn w:val="afff8"/>
    <w:qFormat/>
    <w:pPr>
      <w:spacing w:beforeLines="0" w:before="0" w:afterLines="0" w:after="0"/>
    </w:pPr>
    <w:rPr>
      <w:rFonts w:ascii="宋体"/>
    </w:rPr>
  </w:style>
  <w:style w:type="paragraph" w:customStyle="1" w:styleId="a3">
    <w:name w:val="注×：（正文）"/>
    <w:qFormat/>
    <w:pPr>
      <w:numPr>
        <w:numId w:val="3"/>
      </w:numPr>
      <w:jc w:val="both"/>
    </w:pPr>
    <w:rPr>
      <w:rFonts w:ascii="宋体"/>
      <w:sz w:val="18"/>
      <w:szCs w:val="18"/>
    </w:rPr>
  </w:style>
  <w:style w:type="paragraph" w:customStyle="1" w:styleId="a4">
    <w:name w:val="章标题"/>
    <w:next w:val="aff9"/>
    <w:qFormat/>
    <w:pPr>
      <w:numPr>
        <w:numId w:val="4"/>
      </w:numPr>
      <w:spacing w:beforeLines="100" w:before="312" w:afterLines="100" w:after="312"/>
      <w:jc w:val="both"/>
      <w:outlineLvl w:val="1"/>
    </w:pPr>
    <w:rPr>
      <w:rFonts w:ascii="黑体" w:eastAsia="黑体"/>
      <w:sz w:val="21"/>
    </w:rPr>
  </w:style>
  <w:style w:type="paragraph" w:customStyle="1" w:styleId="afffa">
    <w:name w:val="五级条标题"/>
    <w:basedOn w:val="afff8"/>
    <w:next w:val="aff9"/>
    <w:qFormat/>
    <w:pPr>
      <w:outlineLvl w:val="6"/>
    </w:pPr>
  </w:style>
  <w:style w:type="paragraph" w:customStyle="1" w:styleId="a5">
    <w:name w:val="附录图标号"/>
    <w:basedOn w:val="af6"/>
    <w:qFormat/>
    <w:pPr>
      <w:keepNext/>
      <w:pageBreakBefore/>
      <w:widowControl/>
      <w:numPr>
        <w:numId w:val="5"/>
      </w:numPr>
      <w:spacing w:line="14" w:lineRule="exact"/>
      <w:ind w:left="0" w:firstLine="363"/>
      <w:jc w:val="center"/>
      <w:outlineLvl w:val="0"/>
    </w:pPr>
    <w:rPr>
      <w:color w:val="FFFFFF"/>
    </w:rPr>
  </w:style>
  <w:style w:type="paragraph" w:customStyle="1" w:styleId="a6">
    <w:name w:val="附录图标题"/>
    <w:basedOn w:val="af6"/>
    <w:next w:val="aff9"/>
    <w:qFormat/>
    <w:pPr>
      <w:numPr>
        <w:ilvl w:val="1"/>
        <w:numId w:val="5"/>
      </w:numPr>
      <w:tabs>
        <w:tab w:val="left" w:pos="363"/>
      </w:tabs>
      <w:spacing w:beforeLines="50" w:before="50" w:afterLines="50" w:after="50"/>
      <w:ind w:left="0" w:firstLine="0"/>
      <w:jc w:val="center"/>
    </w:pPr>
    <w:rPr>
      <w:rFonts w:ascii="黑体" w:eastAsia="黑体"/>
      <w:szCs w:val="21"/>
    </w:rPr>
  </w:style>
  <w:style w:type="paragraph" w:customStyle="1" w:styleId="a7">
    <w:name w:val="列项——（一级）"/>
    <w:qFormat/>
    <w:pPr>
      <w:widowControl w:val="0"/>
      <w:numPr>
        <w:numId w:val="6"/>
      </w:numPr>
      <w:jc w:val="both"/>
    </w:pPr>
    <w:rPr>
      <w:rFonts w:ascii="宋体"/>
      <w:sz w:val="21"/>
    </w:rPr>
  </w:style>
  <w:style w:type="paragraph" w:customStyle="1" w:styleId="a8">
    <w:name w:val="列项●（二级）"/>
    <w:qFormat/>
    <w:pPr>
      <w:numPr>
        <w:ilvl w:val="1"/>
        <w:numId w:val="6"/>
      </w:numPr>
      <w:tabs>
        <w:tab w:val="left" w:pos="840"/>
      </w:tabs>
      <w:jc w:val="both"/>
    </w:pPr>
    <w:rPr>
      <w:rFonts w:ascii="宋体"/>
      <w:sz w:val="21"/>
    </w:rPr>
  </w:style>
  <w:style w:type="paragraph" w:customStyle="1" w:styleId="a9">
    <w:name w:val="列项◆（三级）"/>
    <w:basedOn w:val="af6"/>
    <w:qFormat/>
    <w:pPr>
      <w:numPr>
        <w:ilvl w:val="2"/>
        <w:numId w:val="6"/>
      </w:numPr>
    </w:pPr>
    <w:rPr>
      <w:rFonts w:ascii="宋体"/>
      <w:szCs w:val="21"/>
    </w:rPr>
  </w:style>
  <w:style w:type="paragraph" w:customStyle="1" w:styleId="ab">
    <w:name w:val="字母编号列项（一级）"/>
    <w:qFormat/>
    <w:pPr>
      <w:numPr>
        <w:numId w:val="7"/>
      </w:numPr>
      <w:jc w:val="both"/>
    </w:pPr>
    <w:rPr>
      <w:rFonts w:ascii="宋体"/>
      <w:sz w:val="21"/>
    </w:rPr>
  </w:style>
  <w:style w:type="paragraph" w:customStyle="1" w:styleId="ac">
    <w:name w:val="数字编号列项（二级）"/>
    <w:qFormat/>
    <w:pPr>
      <w:numPr>
        <w:ilvl w:val="1"/>
        <w:numId w:val="7"/>
      </w:numPr>
      <w:jc w:val="both"/>
    </w:pPr>
    <w:rPr>
      <w:rFonts w:ascii="宋体"/>
      <w:sz w:val="21"/>
    </w:rPr>
  </w:style>
  <w:style w:type="paragraph" w:customStyle="1" w:styleId="ad">
    <w:name w:val="编号列项（三级）"/>
    <w:qFormat/>
    <w:pPr>
      <w:numPr>
        <w:ilvl w:val="2"/>
        <w:numId w:val="7"/>
      </w:numPr>
    </w:pPr>
    <w:rPr>
      <w:rFonts w:ascii="宋体"/>
      <w:sz w:val="21"/>
    </w:rPr>
  </w:style>
  <w:style w:type="paragraph" w:customStyle="1" w:styleId="afffb">
    <w:name w:val="发布日期"/>
    <w:qFormat/>
    <w:pPr>
      <w:framePr w:w="3997" w:h="471" w:hRule="exact" w:vSpace="181" w:wrap="around" w:hAnchor="page" w:x="7089" w:y="14097" w:anchorLock="1"/>
    </w:pPr>
    <w:rPr>
      <w:rFonts w:eastAsia="黑体"/>
      <w:sz w:val="28"/>
    </w:rPr>
  </w:style>
  <w:style w:type="paragraph" w:customStyle="1" w:styleId="afffc">
    <w:name w:val="其他发布日期"/>
    <w:basedOn w:val="afffb"/>
    <w:qFormat/>
    <w:pPr>
      <w:framePr w:wrap="around" w:vAnchor="page" w:hAnchor="text" w:x="1419"/>
    </w:pPr>
    <w:rPr>
      <w:rFonts w:eastAsia="宋体"/>
    </w:rPr>
  </w:style>
  <w:style w:type="paragraph" w:customStyle="1" w:styleId="af0">
    <w:name w:val="附录表标号"/>
    <w:basedOn w:val="af6"/>
    <w:next w:val="aff9"/>
    <w:qFormat/>
    <w:pPr>
      <w:numPr>
        <w:numId w:val="8"/>
      </w:numPr>
      <w:tabs>
        <w:tab w:val="clear" w:pos="0"/>
      </w:tabs>
      <w:spacing w:line="14" w:lineRule="exact"/>
      <w:ind w:left="811" w:hanging="448"/>
      <w:jc w:val="center"/>
      <w:outlineLvl w:val="0"/>
    </w:pPr>
    <w:rPr>
      <w:color w:val="FFFFFF"/>
    </w:rPr>
  </w:style>
  <w:style w:type="paragraph" w:customStyle="1" w:styleId="af1">
    <w:name w:val="附录表标题"/>
    <w:basedOn w:val="af6"/>
    <w:next w:val="aff9"/>
    <w:qFormat/>
    <w:pPr>
      <w:numPr>
        <w:ilvl w:val="1"/>
        <w:numId w:val="8"/>
      </w:numPr>
      <w:tabs>
        <w:tab w:val="left" w:pos="180"/>
      </w:tabs>
      <w:spacing w:beforeLines="50" w:before="50" w:afterLines="50" w:after="50"/>
      <w:ind w:left="0" w:firstLine="0"/>
      <w:jc w:val="center"/>
    </w:pPr>
    <w:rPr>
      <w:rFonts w:ascii="黑体" w:eastAsia="黑体"/>
      <w:szCs w:val="21"/>
    </w:rPr>
  </w:style>
  <w:style w:type="paragraph" w:customStyle="1" w:styleId="af">
    <w:name w:val="正文图标题"/>
    <w:next w:val="aff9"/>
    <w:qFormat/>
    <w:pPr>
      <w:numPr>
        <w:numId w:val="9"/>
      </w:numPr>
      <w:tabs>
        <w:tab w:val="left" w:pos="360"/>
      </w:tabs>
      <w:spacing w:beforeLines="50" w:before="156" w:afterLines="50" w:after="156"/>
      <w:jc w:val="center"/>
    </w:pPr>
    <w:rPr>
      <w:rFonts w:ascii="黑体" w:eastAsia="黑体"/>
      <w:sz w:val="21"/>
    </w:rPr>
  </w:style>
  <w:style w:type="paragraph" w:customStyle="1" w:styleId="afffd">
    <w:name w:val="标准书眉_奇数页"/>
    <w:next w:val="af6"/>
    <w:qFormat/>
    <w:pPr>
      <w:tabs>
        <w:tab w:val="center" w:pos="4154"/>
        <w:tab w:val="right" w:pos="8306"/>
      </w:tabs>
      <w:spacing w:after="220"/>
      <w:jc w:val="right"/>
    </w:pPr>
    <w:rPr>
      <w:rFonts w:ascii="黑体" w:eastAsia="黑体"/>
      <w:sz w:val="21"/>
      <w:szCs w:val="21"/>
    </w:rPr>
  </w:style>
  <w:style w:type="paragraph" w:customStyle="1" w:styleId="afffe">
    <w:name w:val="目次、标准名称标题"/>
    <w:basedOn w:val="af6"/>
    <w:next w:val="af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3">
    <w:name w:val="附录字母编号列项（一级）"/>
    <w:qFormat/>
    <w:pPr>
      <w:numPr>
        <w:numId w:val="10"/>
      </w:numPr>
    </w:pPr>
    <w:rPr>
      <w:rFonts w:ascii="宋体"/>
      <w:sz w:val="21"/>
    </w:rPr>
  </w:style>
  <w:style w:type="paragraph" w:customStyle="1" w:styleId="af4">
    <w:name w:val="附录数字编号列项（二级）"/>
    <w:qFormat/>
    <w:pPr>
      <w:numPr>
        <w:ilvl w:val="1"/>
        <w:numId w:val="10"/>
      </w:numPr>
    </w:pPr>
    <w:rPr>
      <w:rFonts w:ascii="宋体"/>
      <w:sz w:val="21"/>
    </w:rPr>
  </w:style>
  <w:style w:type="paragraph" w:customStyle="1" w:styleId="affff">
    <w:name w:val="标准书眉_偶数页"/>
    <w:basedOn w:val="afffd"/>
    <w:next w:val="af6"/>
    <w:qFormat/>
    <w:pPr>
      <w:jc w:val="left"/>
    </w:pPr>
  </w:style>
  <w:style w:type="paragraph" w:customStyle="1" w:styleId="affff0">
    <w:name w:val="标准书脚_偶数页"/>
    <w:qFormat/>
    <w:pPr>
      <w:spacing w:before="120"/>
      <w:ind w:left="221"/>
    </w:pPr>
    <w:rPr>
      <w:rFonts w:ascii="宋体"/>
      <w:sz w:val="18"/>
      <w:szCs w:val="18"/>
    </w:rPr>
  </w:style>
  <w:style w:type="paragraph" w:customStyle="1" w:styleId="affff1">
    <w:name w:val="标准书脚_奇数页"/>
    <w:qFormat/>
    <w:pPr>
      <w:spacing w:before="120"/>
      <w:ind w:right="198"/>
      <w:jc w:val="right"/>
    </w:pPr>
    <w:rPr>
      <w:rFonts w:ascii="宋体"/>
      <w:sz w:val="18"/>
      <w:szCs w:val="18"/>
    </w:rPr>
  </w:style>
  <w:style w:type="paragraph" w:customStyle="1" w:styleId="affff2">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3">
    <w:name w:val="其他标准称谓"/>
    <w:next w:val="af6"/>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4">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5">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6">
    <w:name w:val="封面标准英文名称"/>
    <w:basedOn w:val="affff5"/>
    <w:qFormat/>
    <w:pPr>
      <w:framePr w:wrap="around"/>
      <w:spacing w:before="370" w:line="400" w:lineRule="exact"/>
    </w:pPr>
    <w:rPr>
      <w:rFonts w:ascii="Times New Roman" w:eastAsia="宋体"/>
      <w:sz w:val="28"/>
      <w:szCs w:val="28"/>
    </w:rPr>
  </w:style>
  <w:style w:type="paragraph" w:customStyle="1" w:styleId="affff7">
    <w:name w:val="封面一致性程度标识"/>
    <w:basedOn w:val="affff6"/>
    <w:qFormat/>
    <w:pPr>
      <w:framePr w:wrap="around"/>
      <w:spacing w:before="440"/>
    </w:pPr>
    <w:rPr>
      <w:rFonts w:ascii="宋体"/>
    </w:rPr>
  </w:style>
  <w:style w:type="paragraph" w:customStyle="1" w:styleId="affff8">
    <w:name w:val="封面标准文稿类别"/>
    <w:basedOn w:val="affff7"/>
    <w:qFormat/>
    <w:pPr>
      <w:framePr w:wrap="around"/>
      <w:spacing w:after="160" w:line="240" w:lineRule="auto"/>
    </w:pPr>
    <w:rPr>
      <w:rFonts w:ascii="Times New Roman"/>
      <w:sz w:val="24"/>
    </w:rPr>
  </w:style>
  <w:style w:type="paragraph" w:customStyle="1" w:styleId="affff9">
    <w:name w:val="封面标准文稿编辑信息"/>
    <w:basedOn w:val="affff8"/>
    <w:qFormat/>
    <w:pPr>
      <w:framePr w:wrap="around"/>
      <w:spacing w:before="180" w:line="180" w:lineRule="exact"/>
    </w:pPr>
    <w:rPr>
      <w:sz w:val="21"/>
    </w:rPr>
  </w:style>
  <w:style w:type="paragraph" w:customStyle="1" w:styleId="affffa">
    <w:name w:val="实施日期"/>
    <w:basedOn w:val="afffb"/>
    <w:qFormat/>
    <w:pPr>
      <w:framePr w:wrap="around" w:vAnchor="page" w:hAnchor="text"/>
      <w:jc w:val="right"/>
    </w:pPr>
    <w:rPr>
      <w:rFonts w:eastAsia="宋体"/>
    </w:rPr>
  </w:style>
  <w:style w:type="paragraph" w:customStyle="1" w:styleId="affffb">
    <w:name w:val="其他实施日期"/>
    <w:basedOn w:val="affffa"/>
    <w:qFormat/>
    <w:pPr>
      <w:framePr w:wrap="around"/>
    </w:pPr>
  </w:style>
  <w:style w:type="paragraph" w:customStyle="1" w:styleId="affffc">
    <w:name w:val="发布部门"/>
    <w:next w:val="aff9"/>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d">
    <w:name w:val="其他发布部门"/>
    <w:basedOn w:val="affffc"/>
    <w:qFormat/>
    <w:pPr>
      <w:framePr w:wrap="around" w:y="15310"/>
      <w:spacing w:line="0" w:lineRule="atLeast"/>
    </w:pPr>
    <w:rPr>
      <w:rFonts w:ascii="黑体" w:eastAsia="黑体"/>
      <w:b w:val="0"/>
    </w:rPr>
  </w:style>
  <w:style w:type="character" w:customStyle="1" w:styleId="affffe">
    <w:name w:val="发布"/>
    <w:qFormat/>
    <w:rPr>
      <w:rFonts w:ascii="黑体" w:eastAsia="黑体" w:hAnsi="Times New Roman" w:cs="Times New Roman"/>
      <w:spacing w:val="85"/>
      <w:w w:val="100"/>
      <w:position w:val="3"/>
      <w:sz w:val="28"/>
      <w:szCs w:val="28"/>
    </w:rPr>
  </w:style>
  <w:style w:type="paragraph" w:customStyle="1" w:styleId="afffff">
    <w:name w:val="前言、引言标题"/>
    <w:next w:val="aff9"/>
    <w:qFormat/>
    <w:pPr>
      <w:keepNext/>
      <w:pageBreakBefore/>
      <w:shd w:val="clear" w:color="FFFFFF" w:fill="FFFFFF"/>
      <w:spacing w:before="640" w:after="560"/>
      <w:jc w:val="center"/>
      <w:outlineLvl w:val="0"/>
    </w:pPr>
    <w:rPr>
      <w:rFonts w:ascii="黑体" w:eastAsia="黑体"/>
      <w:sz w:val="32"/>
    </w:rPr>
  </w:style>
  <w:style w:type="paragraph" w:customStyle="1" w:styleId="afffff0">
    <w:name w:val="a"/>
    <w:basedOn w:val="af6"/>
    <w:qFormat/>
    <w:pPr>
      <w:widowControl/>
      <w:spacing w:before="100" w:beforeAutospacing="1" w:after="100" w:afterAutospacing="1"/>
      <w:jc w:val="left"/>
    </w:pPr>
    <w:rPr>
      <w:rFonts w:ascii="宋体" w:hAnsi="宋体" w:cs="宋体"/>
      <w:kern w:val="0"/>
      <w:sz w:val="24"/>
    </w:rPr>
  </w:style>
  <w:style w:type="paragraph" w:styleId="afffff1">
    <w:name w:val="List Paragraph"/>
    <w:basedOn w:val="af6"/>
    <w:qFormat/>
    <w:pPr>
      <w:autoSpaceDE w:val="0"/>
      <w:autoSpaceDN w:val="0"/>
      <w:ind w:left="1250" w:hanging="527"/>
      <w:jc w:val="left"/>
    </w:pPr>
    <w:rPr>
      <w:rFonts w:ascii="宋体" w:hAnsi="宋体" w:cs="宋体"/>
      <w:kern w:val="0"/>
      <w:sz w:val="22"/>
      <w:szCs w:val="22"/>
      <w:lang w:eastAsia="en-US" w:bidi="en-US"/>
    </w:rPr>
  </w:style>
  <w:style w:type="paragraph" w:customStyle="1" w:styleId="afffff2">
    <w:name w:val="附录标识"/>
    <w:basedOn w:val="af6"/>
    <w:next w:val="aff9"/>
    <w:qFormat/>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afffff3">
    <w:name w:val="参考文献"/>
    <w:basedOn w:val="af6"/>
    <w:next w:val="a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4">
    <w:name w:val="终结线"/>
    <w:basedOn w:val="af6"/>
    <w:qFormat/>
    <w:pPr>
      <w:framePr w:hSpace="181" w:vSpace="181" w:wrap="around" w:vAnchor="text" w:hAnchor="margin" w:xAlign="center" w:y="285"/>
    </w:pPr>
  </w:style>
  <w:style w:type="paragraph" w:customStyle="1" w:styleId="afffff5">
    <w:name w:val="示例内容"/>
    <w:qFormat/>
    <w:pPr>
      <w:ind w:firstLineChars="200" w:firstLine="200"/>
    </w:pPr>
    <w:rPr>
      <w:rFonts w:ascii="宋体"/>
      <w:sz w:val="18"/>
      <w:szCs w:val="18"/>
    </w:rPr>
  </w:style>
  <w:style w:type="paragraph" w:customStyle="1" w:styleId="a1">
    <w:name w:val="示例"/>
    <w:next w:val="afffff5"/>
    <w:qFormat/>
    <w:pPr>
      <w:widowControl w:val="0"/>
      <w:numPr>
        <w:numId w:val="11"/>
      </w:numPr>
      <w:jc w:val="both"/>
    </w:pPr>
    <w:rPr>
      <w:rFonts w:ascii="宋体"/>
      <w:sz w:val="18"/>
      <w:szCs w:val="18"/>
    </w:rPr>
  </w:style>
  <w:style w:type="paragraph" w:customStyle="1" w:styleId="a">
    <w:name w:val="注×："/>
    <w:qFormat/>
    <w:pPr>
      <w:widowControl w:val="0"/>
      <w:numPr>
        <w:numId w:val="12"/>
      </w:numPr>
      <w:autoSpaceDE w:val="0"/>
      <w:autoSpaceDN w:val="0"/>
      <w:jc w:val="both"/>
    </w:pPr>
    <w:rPr>
      <w:rFonts w:ascii="宋体"/>
      <w:sz w:val="18"/>
      <w:szCs w:val="18"/>
    </w:rPr>
  </w:style>
  <w:style w:type="paragraph" w:customStyle="1" w:styleId="ae">
    <w:name w:val="示例×："/>
    <w:basedOn w:val="a4"/>
    <w:qFormat/>
    <w:pPr>
      <w:numPr>
        <w:numId w:val="13"/>
      </w:numPr>
      <w:spacing w:beforeLines="0" w:before="0" w:afterLines="0" w:after="0"/>
      <w:outlineLvl w:val="9"/>
    </w:pPr>
    <w:rPr>
      <w:rFonts w:ascii="宋体" w:eastAsia="宋体"/>
      <w:sz w:val="18"/>
      <w:szCs w:val="18"/>
    </w:rPr>
  </w:style>
  <w:style w:type="paragraph" w:customStyle="1" w:styleId="afffff6">
    <w:name w:val="二级无"/>
    <w:basedOn w:val="afff6"/>
    <w:qFormat/>
    <w:pPr>
      <w:spacing w:beforeLines="0" w:before="0" w:afterLines="0" w:after="0"/>
    </w:pPr>
    <w:rPr>
      <w:rFonts w:ascii="宋体"/>
    </w:rPr>
  </w:style>
  <w:style w:type="paragraph" w:customStyle="1" w:styleId="afffff7">
    <w:name w:val="注：（正文）"/>
    <w:basedOn w:val="af5"/>
    <w:next w:val="aff9"/>
    <w:qFormat/>
    <w:rPr>
      <w:rFonts w:ascii="Times New Roman"/>
    </w:rPr>
  </w:style>
  <w:style w:type="paragraph" w:customStyle="1" w:styleId="afffff8">
    <w:name w:val="标准标志"/>
    <w:next w:val="af6"/>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9">
    <w:name w:val="标准称谓"/>
    <w:next w:val="af6"/>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a">
    <w:name w:val="标准书眉一"/>
    <w:qFormat/>
    <w:pPr>
      <w:jc w:val="both"/>
    </w:pPr>
  </w:style>
  <w:style w:type="paragraph" w:customStyle="1" w:styleId="afffffb">
    <w:name w:val="参考文献、索引标题"/>
    <w:basedOn w:val="af6"/>
    <w:next w:val="a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afffffc">
    <w:name w:val="封面正文"/>
    <w:qFormat/>
    <w:pPr>
      <w:jc w:val="both"/>
    </w:pPr>
  </w:style>
  <w:style w:type="paragraph" w:customStyle="1" w:styleId="afffffd">
    <w:name w:val="附录标题"/>
    <w:basedOn w:val="aff9"/>
    <w:next w:val="aff9"/>
    <w:qFormat/>
    <w:pPr>
      <w:ind w:firstLineChars="0" w:firstLine="0"/>
      <w:jc w:val="center"/>
    </w:pPr>
    <w:rPr>
      <w:rFonts w:ascii="黑体" w:eastAsia="黑体"/>
    </w:rPr>
  </w:style>
  <w:style w:type="paragraph" w:customStyle="1" w:styleId="afffffe">
    <w:name w:val="附录二级条标题"/>
    <w:basedOn w:val="af6"/>
    <w:next w:val="aff9"/>
    <w:qFormat/>
    <w:pPr>
      <w:widowControl/>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f">
    <w:name w:val="附录二级无"/>
    <w:basedOn w:val="afffffe"/>
    <w:qFormat/>
    <w:pPr>
      <w:spacing w:beforeLines="0" w:before="0" w:afterLines="0" w:after="0"/>
    </w:pPr>
    <w:rPr>
      <w:rFonts w:ascii="宋体" w:eastAsia="宋体"/>
      <w:szCs w:val="21"/>
    </w:rPr>
  </w:style>
  <w:style w:type="character" w:customStyle="1" w:styleId="Char0">
    <w:name w:val="附录公式 Char"/>
    <w:link w:val="affffff0"/>
    <w:qFormat/>
    <w:rPr>
      <w:rFonts w:ascii="Times New Roman" w:eastAsia="宋体" w:hAnsi="Times New Roman" w:cs="Times New Roman"/>
      <w:sz w:val="21"/>
      <w:lang w:val="en-US" w:eastAsia="zh-CN" w:bidi="ar-SA"/>
    </w:rPr>
  </w:style>
  <w:style w:type="paragraph" w:customStyle="1" w:styleId="affffff0">
    <w:name w:val="附录公式"/>
    <w:basedOn w:val="aff9"/>
    <w:next w:val="aff9"/>
    <w:link w:val="Char0"/>
    <w:qFormat/>
    <w:rPr>
      <w:rFonts w:ascii="Times New Roman"/>
    </w:rPr>
  </w:style>
  <w:style w:type="paragraph" w:customStyle="1" w:styleId="affffff1">
    <w:name w:val="附录公式编号制表符"/>
    <w:basedOn w:val="af6"/>
    <w:next w:val="aff9"/>
    <w:qFormat/>
    <w:pPr>
      <w:widowControl/>
      <w:tabs>
        <w:tab w:val="center" w:pos="4201"/>
        <w:tab w:val="right" w:leader="dot" w:pos="9298"/>
      </w:tabs>
      <w:autoSpaceDE w:val="0"/>
      <w:autoSpaceDN w:val="0"/>
    </w:pPr>
    <w:rPr>
      <w:rFonts w:ascii="宋体"/>
      <w:kern w:val="0"/>
      <w:szCs w:val="20"/>
    </w:rPr>
  </w:style>
  <w:style w:type="paragraph" w:customStyle="1" w:styleId="affffff2">
    <w:name w:val="附录三级条标题"/>
    <w:basedOn w:val="afffffe"/>
    <w:next w:val="aff9"/>
    <w:qFormat/>
    <w:pPr>
      <w:outlineLvl w:val="4"/>
    </w:pPr>
    <w:rPr>
      <w:rFonts w:ascii="Times New Roman" w:eastAsia="宋体"/>
    </w:rPr>
  </w:style>
  <w:style w:type="paragraph" w:customStyle="1" w:styleId="affffff3">
    <w:name w:val="附录三级无"/>
    <w:basedOn w:val="affffff2"/>
    <w:qFormat/>
    <w:pPr>
      <w:spacing w:beforeLines="0" w:before="0" w:afterLines="0" w:after="0"/>
    </w:pPr>
    <w:rPr>
      <w:rFonts w:ascii="宋体"/>
      <w:szCs w:val="21"/>
    </w:rPr>
  </w:style>
  <w:style w:type="paragraph" w:customStyle="1" w:styleId="affffff4">
    <w:name w:val="附录四级条标题"/>
    <w:basedOn w:val="affffff2"/>
    <w:next w:val="aff9"/>
    <w:qFormat/>
    <w:pPr>
      <w:outlineLvl w:val="5"/>
    </w:pPr>
  </w:style>
  <w:style w:type="paragraph" w:customStyle="1" w:styleId="affffff5">
    <w:name w:val="附录四级无"/>
    <w:basedOn w:val="affffff4"/>
    <w:qFormat/>
    <w:pPr>
      <w:spacing w:beforeLines="0" w:before="0" w:afterLines="0" w:after="0"/>
    </w:pPr>
    <w:rPr>
      <w:rFonts w:ascii="宋体"/>
      <w:szCs w:val="21"/>
    </w:rPr>
  </w:style>
  <w:style w:type="paragraph" w:customStyle="1" w:styleId="affffff6">
    <w:name w:val="附录五级条标题"/>
    <w:basedOn w:val="affffff4"/>
    <w:next w:val="aff9"/>
    <w:qFormat/>
    <w:pPr>
      <w:outlineLvl w:val="6"/>
    </w:pPr>
  </w:style>
  <w:style w:type="paragraph" w:customStyle="1" w:styleId="affffff7">
    <w:name w:val="附录五级无"/>
    <w:basedOn w:val="affffff6"/>
    <w:qFormat/>
    <w:pPr>
      <w:spacing w:beforeLines="0" w:before="0" w:afterLines="0" w:after="0"/>
    </w:pPr>
    <w:rPr>
      <w:rFonts w:ascii="宋体"/>
      <w:szCs w:val="21"/>
    </w:rPr>
  </w:style>
  <w:style w:type="paragraph" w:customStyle="1" w:styleId="affffff8">
    <w:name w:val="附录章标题"/>
    <w:next w:val="aff9"/>
    <w:qFormat/>
    <w:pPr>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ff9">
    <w:name w:val="附录一级条标题"/>
    <w:basedOn w:val="affffff8"/>
    <w:next w:val="aff9"/>
    <w:qFormat/>
    <w:pPr>
      <w:autoSpaceDN w:val="0"/>
      <w:spacing w:beforeLines="50" w:before="50" w:afterLines="50" w:after="50"/>
      <w:outlineLvl w:val="2"/>
    </w:pPr>
    <w:rPr>
      <w:rFonts w:ascii="Times New Roman" w:eastAsia="宋体"/>
    </w:rPr>
  </w:style>
  <w:style w:type="paragraph" w:customStyle="1" w:styleId="affffffa">
    <w:name w:val="附录一级无"/>
    <w:basedOn w:val="affffff9"/>
    <w:qFormat/>
    <w:pPr>
      <w:spacing w:beforeLines="0" w:before="0" w:afterLines="0" w:after="0"/>
    </w:pPr>
    <w:rPr>
      <w:rFonts w:ascii="宋体"/>
      <w:szCs w:val="21"/>
    </w:rPr>
  </w:style>
  <w:style w:type="paragraph" w:customStyle="1" w:styleId="affffffb">
    <w:name w:val="列项说明"/>
    <w:basedOn w:val="af6"/>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c">
    <w:name w:val="列项说明数字编号"/>
    <w:qFormat/>
    <w:pPr>
      <w:ind w:leftChars="400" w:left="600" w:hangingChars="200" w:hanging="200"/>
    </w:pPr>
    <w:rPr>
      <w:rFonts w:ascii="宋体"/>
      <w:sz w:val="21"/>
    </w:rPr>
  </w:style>
  <w:style w:type="paragraph" w:customStyle="1" w:styleId="affffffd">
    <w:name w:val="目次、索引正文"/>
    <w:qFormat/>
    <w:pPr>
      <w:spacing w:line="320" w:lineRule="exact"/>
      <w:jc w:val="both"/>
    </w:pPr>
    <w:rPr>
      <w:rFonts w:ascii="宋体"/>
      <w:sz w:val="21"/>
    </w:rPr>
  </w:style>
  <w:style w:type="paragraph" w:customStyle="1" w:styleId="affffffe">
    <w:name w:val="其他标准标志"/>
    <w:basedOn w:val="afffff8"/>
    <w:qFormat/>
    <w:pPr>
      <w:framePr w:w="6101" w:wrap="around" w:vAnchor="page" w:hAnchor="page" w:x="4673" w:y="942"/>
    </w:pPr>
    <w:rPr>
      <w:w w:val="130"/>
    </w:rPr>
  </w:style>
  <w:style w:type="paragraph" w:customStyle="1" w:styleId="afffffff">
    <w:name w:val="三级无"/>
    <w:basedOn w:val="afff7"/>
    <w:qFormat/>
    <w:pPr>
      <w:spacing w:beforeLines="0" w:before="0" w:afterLines="0" w:after="0"/>
    </w:pPr>
    <w:rPr>
      <w:rFonts w:ascii="宋体"/>
    </w:rPr>
  </w:style>
  <w:style w:type="paragraph" w:customStyle="1" w:styleId="afffffff0">
    <w:name w:val="示例后文字"/>
    <w:basedOn w:val="aff9"/>
    <w:next w:val="aff9"/>
    <w:qFormat/>
    <w:pPr>
      <w:ind w:firstLine="360"/>
    </w:pPr>
    <w:rPr>
      <w:rFonts w:ascii="Times New Roman"/>
      <w:sz w:val="18"/>
    </w:rPr>
  </w:style>
  <w:style w:type="character" w:customStyle="1" w:styleId="Char1">
    <w:name w:val="首示例 Char"/>
    <w:link w:val="a0"/>
    <w:qFormat/>
    <w:rPr>
      <w:rFonts w:ascii="宋体" w:eastAsia="宋体" w:hAnsi="宋体" w:cs="Times New Roman"/>
      <w:kern w:val="2"/>
      <w:sz w:val="18"/>
      <w:szCs w:val="18"/>
      <w:lang w:val="en-US" w:eastAsia="zh-CN" w:bidi="ar-SA"/>
    </w:rPr>
  </w:style>
  <w:style w:type="paragraph" w:customStyle="1" w:styleId="a0">
    <w:name w:val="首示例"/>
    <w:next w:val="aff9"/>
    <w:link w:val="Char1"/>
    <w:qFormat/>
    <w:pPr>
      <w:numPr>
        <w:numId w:val="14"/>
      </w:numPr>
      <w:tabs>
        <w:tab w:val="left" w:pos="360"/>
      </w:tabs>
      <w:ind w:firstLine="0"/>
    </w:pPr>
    <w:rPr>
      <w:rFonts w:ascii="宋体" w:hAnsi="宋体"/>
      <w:kern w:val="2"/>
      <w:sz w:val="18"/>
      <w:szCs w:val="18"/>
    </w:rPr>
  </w:style>
  <w:style w:type="paragraph" w:customStyle="1" w:styleId="afffffff1">
    <w:name w:val="条文脚注"/>
    <w:basedOn w:val="aa"/>
    <w:qFormat/>
    <w:pPr>
      <w:numPr>
        <w:numId w:val="0"/>
      </w:numPr>
      <w:jc w:val="both"/>
    </w:pPr>
  </w:style>
  <w:style w:type="paragraph" w:customStyle="1" w:styleId="afffffff2">
    <w:name w:val="图标脚注说明"/>
    <w:basedOn w:val="aff9"/>
    <w:qFormat/>
    <w:pPr>
      <w:ind w:left="840" w:firstLineChars="0" w:hanging="420"/>
    </w:pPr>
    <w:rPr>
      <w:rFonts w:ascii="Times New Roman"/>
      <w:sz w:val="18"/>
      <w:szCs w:val="18"/>
    </w:rPr>
  </w:style>
  <w:style w:type="paragraph" w:customStyle="1" w:styleId="a2">
    <w:name w:val="图表脚注说明"/>
    <w:basedOn w:val="af6"/>
    <w:qFormat/>
    <w:pPr>
      <w:numPr>
        <w:numId w:val="15"/>
      </w:numPr>
    </w:pPr>
    <w:rPr>
      <w:rFonts w:ascii="宋体"/>
      <w:sz w:val="18"/>
      <w:szCs w:val="18"/>
    </w:rPr>
  </w:style>
  <w:style w:type="paragraph" w:customStyle="1" w:styleId="afffffff3">
    <w:name w:val="图的脚注"/>
    <w:next w:val="aff9"/>
    <w:qFormat/>
    <w:pPr>
      <w:widowControl w:val="0"/>
      <w:ind w:leftChars="200" w:left="840" w:hangingChars="200" w:hanging="420"/>
      <w:jc w:val="both"/>
    </w:pPr>
    <w:rPr>
      <w:rFonts w:ascii="宋体"/>
      <w:sz w:val="18"/>
    </w:rPr>
  </w:style>
  <w:style w:type="paragraph" w:customStyle="1" w:styleId="afffffff4">
    <w:name w:val="五级无"/>
    <w:basedOn w:val="afffa"/>
    <w:qFormat/>
    <w:pPr>
      <w:spacing w:beforeLines="0" w:before="0" w:afterLines="0" w:after="0"/>
    </w:pPr>
    <w:rPr>
      <w:rFonts w:ascii="宋体"/>
    </w:rPr>
  </w:style>
  <w:style w:type="paragraph" w:customStyle="1" w:styleId="afffffff5">
    <w:name w:val="一级无"/>
    <w:basedOn w:val="afff5"/>
    <w:qFormat/>
    <w:pPr>
      <w:spacing w:beforeLines="0" w:before="0" w:afterLines="0" w:after="0"/>
    </w:pPr>
    <w:rPr>
      <w:rFonts w:ascii="宋体" w:eastAsia="宋体"/>
    </w:rPr>
  </w:style>
  <w:style w:type="paragraph" w:customStyle="1" w:styleId="af2">
    <w:name w:val="正文表标题"/>
    <w:next w:val="aff9"/>
    <w:qFormat/>
    <w:pPr>
      <w:numPr>
        <w:numId w:val="16"/>
      </w:numPr>
      <w:tabs>
        <w:tab w:val="left" w:pos="360"/>
      </w:tabs>
      <w:spacing w:beforeLines="50" w:before="156" w:afterLines="50" w:after="156"/>
      <w:jc w:val="center"/>
    </w:pPr>
    <w:rPr>
      <w:rFonts w:ascii="黑体" w:eastAsia="黑体"/>
      <w:sz w:val="21"/>
    </w:rPr>
  </w:style>
  <w:style w:type="paragraph" w:customStyle="1" w:styleId="afffffff6">
    <w:name w:val="正文公式编号制表符"/>
    <w:basedOn w:val="aff9"/>
    <w:next w:val="aff9"/>
    <w:qFormat/>
    <w:pPr>
      <w:ind w:firstLineChars="0" w:firstLine="0"/>
    </w:pPr>
    <w:rPr>
      <w:rFonts w:ascii="Times New Roman"/>
    </w:rPr>
  </w:style>
  <w:style w:type="paragraph" w:customStyle="1" w:styleId="21">
    <w:name w:val="封面标准名称2"/>
    <w:basedOn w:val="affff5"/>
    <w:qFormat/>
    <w:pPr>
      <w:framePr w:wrap="around" w:y="4469"/>
      <w:spacing w:beforeLines="630" w:before="630"/>
    </w:pPr>
    <w:rPr>
      <w:rFonts w:ascii="Times New Roman" w:eastAsia="宋体"/>
    </w:rPr>
  </w:style>
  <w:style w:type="paragraph" w:customStyle="1" w:styleId="22">
    <w:name w:val="封面标准英文名称2"/>
    <w:basedOn w:val="affff6"/>
    <w:qFormat/>
    <w:pPr>
      <w:framePr w:wrap="around" w:y="4469"/>
    </w:pPr>
  </w:style>
  <w:style w:type="paragraph" w:customStyle="1" w:styleId="23">
    <w:name w:val="封面一致性程度标识2"/>
    <w:basedOn w:val="affff7"/>
    <w:qFormat/>
    <w:pPr>
      <w:framePr w:wrap="around" w:y="4469"/>
    </w:pPr>
    <w:rPr>
      <w:rFonts w:ascii="Times New Roman"/>
    </w:rPr>
  </w:style>
  <w:style w:type="paragraph" w:customStyle="1" w:styleId="24">
    <w:name w:val="封面标准文稿类别2"/>
    <w:basedOn w:val="affff8"/>
    <w:qFormat/>
    <w:pPr>
      <w:framePr w:wrap="around" w:y="4469"/>
    </w:pPr>
  </w:style>
  <w:style w:type="paragraph" w:customStyle="1" w:styleId="25">
    <w:name w:val="封面标准文稿编辑信息2"/>
    <w:basedOn w:val="affff9"/>
    <w:qFormat/>
    <w:pPr>
      <w:framePr w:wrap="around" w:y="4469"/>
    </w:pPr>
  </w:style>
  <w:style w:type="character" w:customStyle="1" w:styleId="aff5">
    <w:name w:val="批注框文本 字符"/>
    <w:link w:val="aff4"/>
    <w:qFormat/>
    <w:rPr>
      <w:rFonts w:ascii="Times New Roman" w:eastAsia="宋体" w:hAnsi="Times New Roman" w:cs="Times New Roman"/>
      <w:kern w:val="2"/>
      <w:sz w:val="18"/>
      <w:szCs w:val="18"/>
    </w:rPr>
  </w:style>
  <w:style w:type="character" w:customStyle="1" w:styleId="30">
    <w:name w:val="正文文本 + 粗体3"/>
    <w:qFormat/>
    <w:rPr>
      <w:rFonts w:ascii="AngsanaUPC" w:eastAsia="AngsanaUPC" w:hAnsi="AngsanaUPC" w:cs="AngsanaUPC"/>
      <w:b/>
      <w:bCs/>
      <w:color w:val="FFFFFF"/>
      <w:spacing w:val="0"/>
      <w:w w:val="100"/>
      <w:position w:val="0"/>
      <w:sz w:val="32"/>
      <w:szCs w:val="32"/>
      <w:u w:val="none"/>
      <w:lang w:val="en-US"/>
    </w:rPr>
  </w:style>
  <w:style w:type="character" w:customStyle="1" w:styleId="26">
    <w:name w:val="正文文本2"/>
    <w:qFormat/>
    <w:rPr>
      <w:rFonts w:ascii="AngsanaUPC" w:eastAsia="AngsanaUPC" w:hAnsi="AngsanaUPC" w:cs="AngsanaUPC"/>
      <w:color w:val="000000"/>
      <w:spacing w:val="0"/>
      <w:w w:val="100"/>
      <w:position w:val="0"/>
      <w:sz w:val="32"/>
      <w:szCs w:val="32"/>
      <w:u w:val="none"/>
      <w:lang w:val="en-US"/>
    </w:rPr>
  </w:style>
  <w:style w:type="character" w:customStyle="1" w:styleId="27">
    <w:name w:val="正文文本 + 粗体2"/>
    <w:qFormat/>
    <w:rPr>
      <w:rFonts w:ascii="AngsanaUPC" w:eastAsia="AngsanaUPC" w:hAnsi="AngsanaUPC" w:cs="AngsanaUPC"/>
      <w:b/>
      <w:bCs/>
      <w:color w:val="000000"/>
      <w:spacing w:val="0"/>
      <w:w w:val="100"/>
      <w:position w:val="0"/>
      <w:sz w:val="32"/>
      <w:szCs w:val="32"/>
      <w:u w:val="none"/>
      <w:lang w:val="en-US"/>
    </w:rPr>
  </w:style>
  <w:style w:type="table" w:customStyle="1" w:styleId="14">
    <w:name w:val="网格型1"/>
    <w:basedOn w:val="af8"/>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basedOn w:val="af7"/>
    <w:link w:val="10"/>
    <w:uiPriority w:val="9"/>
    <w:qFormat/>
    <w:rPr>
      <w:b/>
      <w:bCs/>
      <w:kern w:val="44"/>
      <w:sz w:val="44"/>
      <w:szCs w:val="44"/>
    </w:rPr>
  </w:style>
  <w:style w:type="paragraph" w:customStyle="1" w:styleId="TOC10">
    <w:name w:val="TOC 标题1"/>
    <w:basedOn w:val="10"/>
    <w:next w:val="af6"/>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
    <w:name w:val="修订1"/>
    <w:hidden/>
    <w:uiPriority w:val="99"/>
    <w:semiHidden/>
    <w:qFormat/>
    <w:rPr>
      <w:kern w:val="2"/>
      <w:sz w:val="21"/>
      <w:szCs w:val="24"/>
    </w:rPr>
  </w:style>
  <w:style w:type="character" w:customStyle="1" w:styleId="afd">
    <w:name w:val="批注文字 字符"/>
    <w:basedOn w:val="af7"/>
    <w:link w:val="afc"/>
    <w:uiPriority w:val="99"/>
    <w:qFormat/>
    <w:rPr>
      <w:kern w:val="2"/>
      <w:sz w:val="21"/>
      <w:szCs w:val="24"/>
    </w:rPr>
  </w:style>
  <w:style w:type="character" w:customStyle="1" w:styleId="affc">
    <w:name w:val="批注主题 字符"/>
    <w:basedOn w:val="afd"/>
    <w:link w:val="affb"/>
    <w:uiPriority w:val="99"/>
    <w:semiHidden/>
    <w:qFormat/>
    <w:rPr>
      <w:b/>
      <w:bCs/>
      <w:kern w:val="2"/>
      <w:sz w:val="21"/>
      <w:szCs w:val="24"/>
    </w:rPr>
  </w:style>
  <w:style w:type="character" w:customStyle="1" w:styleId="aff2">
    <w:name w:val="日期 字符"/>
    <w:basedOn w:val="af7"/>
    <w:link w:val="aff1"/>
    <w:uiPriority w:val="99"/>
    <w:semiHidden/>
    <w:qFormat/>
    <w:rPr>
      <w:kern w:val="2"/>
      <w:sz w:val="21"/>
      <w:szCs w:val="24"/>
    </w:rPr>
  </w:style>
  <w:style w:type="paragraph" w:customStyle="1" w:styleId="Bodytext1">
    <w:name w:val="Body text|1"/>
    <w:basedOn w:val="af6"/>
    <w:qFormat/>
    <w:pPr>
      <w:shd w:val="clear" w:color="auto" w:fill="FFFFFF"/>
      <w:spacing w:line="334" w:lineRule="auto"/>
      <w:ind w:firstLine="400"/>
    </w:pPr>
    <w:rPr>
      <w:rFonts w:ascii="宋体" w:hAnsi="宋体" w:cs="宋体"/>
      <w:sz w:val="20"/>
      <w:szCs w:val="20"/>
      <w:lang w:val="zh-CN" w:bidi="zh-CN"/>
    </w:rPr>
  </w:style>
  <w:style w:type="paragraph" w:customStyle="1" w:styleId="TableParagraph">
    <w:name w:val="Table Paragraph"/>
    <w:basedOn w:val="af6"/>
    <w:uiPriority w:val="1"/>
    <w:qFormat/>
    <w:rPr>
      <w:rFonts w:ascii="宋体" w:hAnsi="宋体" w:cs="宋体"/>
      <w:lang w:eastAsia="en-US"/>
    </w:rPr>
  </w:style>
  <w:style w:type="paragraph" w:customStyle="1" w:styleId="1">
    <w:name w:val="标题1"/>
    <w:basedOn w:val="af6"/>
    <w:qFormat/>
    <w:pPr>
      <w:numPr>
        <w:numId w:val="17"/>
      </w:numPr>
      <w:spacing w:before="120" w:after="120"/>
    </w:pPr>
    <w:rPr>
      <w:b/>
      <w:kern w:val="0"/>
    </w:rPr>
  </w:style>
  <w:style w:type="paragraph" w:customStyle="1" w:styleId="afffffff7">
    <w:name w:val="正文格式"/>
    <w:basedOn w:val="af6"/>
    <w:qFormat/>
    <w:pPr>
      <w:spacing w:before="60" w:after="60" w:line="400" w:lineRule="exact"/>
      <w:ind w:leftChars="300" w:left="300"/>
    </w:pPr>
  </w:style>
  <w:style w:type="paragraph" w:customStyle="1" w:styleId="28">
    <w:name w:val="修订2"/>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D2F2BD-47C3-485C-9DAC-AB82B2AC2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4891</Words>
  <Characters>27885</Characters>
  <Application>Microsoft Office Word</Application>
  <DocSecurity>0</DocSecurity>
  <Lines>232</Lines>
  <Paragraphs>65</Paragraphs>
  <ScaleCrop>false</ScaleCrop>
  <Company>Microsoft</Company>
  <LinksUpToDate>false</LinksUpToDate>
  <CharactersWithSpaces>32711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王永东 SNERDI</cp:lastModifiedBy>
  <cp:revision>4</cp:revision>
  <cp:lastPrinted>2023-08-14T09:03:00Z</cp:lastPrinted>
  <dcterms:created xsi:type="dcterms:W3CDTF">2026-05-27T02:14:00Z</dcterms:created>
  <dcterms:modified xsi:type="dcterms:W3CDTF">2026-05-27T03:23:00Z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45F97BA88F6C406F9D3D17B33FF2B6EB_13</vt:lpwstr>
  </property>
  <property fmtid="{D5CDD505-2E9C-101B-9397-08002B2CF9AE}" pid="3" name="KSOProductBuildVer">
    <vt:lpwstr>2052-12.1.0.22529</vt:lpwstr>
  </property>
  <property fmtid="{D5CDD505-2E9C-101B-9397-08002B2CF9AE}" pid="4" name="KSOTemplateDocerSaveRecord">
    <vt:lpwstr>eyJoZGlkIjoiMzEwNTM5NzYwMDRjMzkwZTVkZjY2ODkwMGIxNGU0OTUiLCJ1c2VySWQiOiI3NjY4NjIyMDYifQ==</vt:lpwstr>
  </property>
</Properties>
</file>